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88" w:rsidRPr="00465A88" w:rsidRDefault="00465A88" w:rsidP="00465A88">
      <w:pPr>
        <w:pStyle w:val="Pagrindinistekstas"/>
        <w:spacing w:after="0" w:line="240" w:lineRule="auto"/>
        <w:rPr>
          <w:sz w:val="24"/>
          <w:szCs w:val="24"/>
        </w:rPr>
      </w:pPr>
      <w:r w:rsidRPr="00465A88">
        <w:rPr>
          <w:sz w:val="24"/>
          <w:szCs w:val="24"/>
        </w:rPr>
        <w:t>ULTRAGARSINĖS DIAGNOSTINĖS  SISTEMOS TECHNINĖ SPECIFIKACIJA</w:t>
      </w:r>
    </w:p>
    <w:p w:rsidR="00465A88" w:rsidRPr="00465A88" w:rsidRDefault="00465A88" w:rsidP="00465A88">
      <w:pPr>
        <w:pStyle w:val="Pagrindinistekstas"/>
        <w:spacing w:after="0" w:line="240" w:lineRule="auto"/>
        <w:rPr>
          <w:sz w:val="24"/>
          <w:szCs w:val="24"/>
        </w:rPr>
      </w:pPr>
    </w:p>
    <w:p w:rsidR="000D21C7" w:rsidRPr="00465A88" w:rsidRDefault="00465A88" w:rsidP="00465A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65A88">
        <w:rPr>
          <w:rFonts w:ascii="Times New Roman" w:hAnsi="Times New Roman" w:cs="Times New Roman"/>
          <w:sz w:val="24"/>
          <w:szCs w:val="24"/>
        </w:rPr>
        <w:t>Techniniai reikalavimai ultragarsinei diagnostinei sistemai – 1 kompl.</w:t>
      </w:r>
    </w:p>
    <w:p w:rsidR="00465A88" w:rsidRPr="00465A88" w:rsidRDefault="00465A88" w:rsidP="00465A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345"/>
        <w:gridCol w:w="3312"/>
        <w:gridCol w:w="3261"/>
      </w:tblGrid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53B8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53B8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53B8">
              <w:rPr>
                <w:rFonts w:ascii="Times New Roman" w:hAnsi="Times New Roman" w:cs="Times New Roman"/>
                <w:b/>
                <w:bCs/>
              </w:rPr>
              <w:t>Parametrai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53B8">
              <w:rPr>
                <w:rFonts w:ascii="Times New Roman" w:hAnsi="Times New Roman" w:cs="Times New Roman"/>
                <w:b/>
                <w:bCs/>
              </w:rPr>
              <w:t>Reikalavimai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953B8">
              <w:rPr>
                <w:rFonts w:ascii="Times New Roman" w:hAnsi="Times New Roman" w:cs="Times New Roman"/>
                <w:b/>
                <w:bCs/>
              </w:rPr>
              <w:t>Siūlomi parametrai</w:t>
            </w: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Ultragarsinė sistema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Taikymo sritis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 Pilvo tyrimams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 Kraujagyslių tyrimams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B953B8">
              <w:rPr>
                <w:rFonts w:ascii="Times New Roman" w:hAnsi="Times New Roman" w:cs="Times New Roman"/>
              </w:rPr>
              <w:t>Naujagimių tyrimams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lang w:val="en-US"/>
              </w:rPr>
              <w:t>4. Smulkiųjų struktūrų tyrimai;</w:t>
            </w:r>
          </w:p>
        </w:tc>
        <w:tc>
          <w:tcPr>
            <w:tcW w:w="3261" w:type="dxa"/>
          </w:tcPr>
          <w:p w:rsidR="00B953B8" w:rsidRPr="00B953B8" w:rsidRDefault="00B953B8" w:rsidP="00D26AFE">
            <w:pPr>
              <w:pStyle w:val="Sraopastraipa"/>
              <w:ind w:left="34"/>
              <w:contextualSpacing w:val="0"/>
              <w:rPr>
                <w:i/>
                <w:color w:val="7030A0"/>
                <w:sz w:val="22"/>
                <w:szCs w:val="22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Komplektuojami davikliai 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Konveksinis daviklis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1. Dažnio diapazonas ne siauresnis kaip </w:t>
            </w:r>
            <w:r w:rsidRPr="00B953B8">
              <w:rPr>
                <w:rFonts w:ascii="Times New Roman" w:hAnsi="Times New Roman" w:cs="Times New Roman"/>
                <w:color w:val="000000"/>
              </w:rPr>
              <w:t>nuo 1,0 iki 5,0 MHz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2. Skenavimo kampas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≥ </w:t>
            </w:r>
            <w:r w:rsidRPr="00B953B8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B953B8">
              <w:rPr>
                <w:rFonts w:ascii="Times New Roman" w:hAnsi="Times New Roman" w:cs="Times New Roman"/>
              </w:rPr>
              <w:t>°</w:t>
            </w:r>
            <w:r w:rsidRPr="00B953B8">
              <w:rPr>
                <w:rFonts w:ascii="Times New Roman" w:hAnsi="Times New Roman" w:cs="Times New Roman"/>
              </w:rPr>
              <w:br/>
              <w:t xml:space="preserve">3. Kristalų kiekis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≥ </w:t>
            </w:r>
            <w:r w:rsidRPr="00B953B8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3261" w:type="dxa"/>
          </w:tcPr>
          <w:p w:rsidR="00B953B8" w:rsidRPr="00B953B8" w:rsidRDefault="00B953B8" w:rsidP="00D26AFE">
            <w:pPr>
              <w:pStyle w:val="Sraopastraipa"/>
              <w:snapToGrid w:val="0"/>
              <w:ind w:left="-108"/>
              <w:contextualSpacing w:val="0"/>
              <w:rPr>
                <w:i/>
                <w:color w:val="7030A0"/>
                <w:sz w:val="22"/>
                <w:szCs w:val="22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Linijinis daviklis Nr. 1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1. Dažnio diapazonas ne siauresnis kaip </w:t>
            </w:r>
            <w:r w:rsidRPr="00B953B8">
              <w:rPr>
                <w:rFonts w:ascii="Times New Roman" w:hAnsi="Times New Roman" w:cs="Times New Roman"/>
                <w:color w:val="000000"/>
              </w:rPr>
              <w:t>nuo 4,0 iki 15,0 MHz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2. </w:t>
            </w:r>
            <w:bookmarkStart w:id="0" w:name="_Hlk195106909"/>
            <w:r w:rsidRPr="00B953B8">
              <w:rPr>
                <w:rFonts w:ascii="Times New Roman" w:hAnsi="Times New Roman" w:cs="Times New Roman"/>
              </w:rPr>
              <w:t>Apžvalgos laukas (akustinio lango ilgis)</w:t>
            </w:r>
            <w:bookmarkEnd w:id="0"/>
            <w:r w:rsidRPr="00B953B8">
              <w:rPr>
                <w:rFonts w:ascii="Times New Roman" w:hAnsi="Times New Roman" w:cs="Times New Roman"/>
              </w:rPr>
              <w:t xml:space="preserve">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≥</w:t>
            </w:r>
            <w:r w:rsidRPr="00B953B8">
              <w:rPr>
                <w:rFonts w:ascii="Times New Roman" w:hAnsi="Times New Roman" w:cs="Times New Roman"/>
              </w:rPr>
              <w:t xml:space="preserve"> 50 mm</w:t>
            </w:r>
            <w:r w:rsidRPr="00B953B8">
              <w:rPr>
                <w:rFonts w:ascii="Times New Roman" w:hAnsi="Times New Roman" w:cs="Times New Roman"/>
              </w:rPr>
              <w:br/>
              <w:t xml:space="preserve">3. Kristalų kiekis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≥ </w:t>
            </w:r>
            <w:r w:rsidRPr="00B953B8">
              <w:rPr>
                <w:rFonts w:ascii="Times New Roman" w:hAnsi="Times New Roman" w:cs="Times New Roman"/>
                <w:color w:val="000000" w:themeColor="text1"/>
              </w:rPr>
              <w:t>960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53B8">
              <w:rPr>
                <w:rFonts w:ascii="Times New Roman" w:hAnsi="Times New Roman" w:cs="Times New Roman"/>
              </w:rPr>
              <w:t>Linijinis daviklis Nr. 2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1. Dažnio diapazonas ne siauresnis kaip </w:t>
            </w:r>
            <w:r w:rsidRPr="00B953B8">
              <w:rPr>
                <w:rFonts w:ascii="Times New Roman" w:hAnsi="Times New Roman" w:cs="Times New Roman"/>
                <w:color w:val="000000"/>
              </w:rPr>
              <w:t>nuo 3,0 iki 9,0 MHz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 Apžvalgos laukas (akustinio lango ilgis) 38-45 mm</w:t>
            </w:r>
            <w:r w:rsidRPr="00B953B8">
              <w:rPr>
                <w:rFonts w:ascii="Times New Roman" w:hAnsi="Times New Roman" w:cs="Times New Roman"/>
              </w:rPr>
              <w:br/>
              <w:t xml:space="preserve">3. Kristalų kiekis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≥ </w:t>
            </w:r>
            <w:r w:rsidRPr="00B953B8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Linijinis daviklis Nr. 3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1. Dažnio diapazonas ne siauresnis kaip </w:t>
            </w:r>
            <w:r w:rsidRPr="00B953B8">
              <w:rPr>
                <w:rFonts w:ascii="Times New Roman" w:hAnsi="Times New Roman" w:cs="Times New Roman"/>
                <w:color w:val="000000"/>
              </w:rPr>
              <w:t>nuo 8,0 iki 20,0 MHz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 Apžvalgos laukas (akustinio lango ilgis) 25-30 mm</w:t>
            </w:r>
            <w:r w:rsidRPr="00B953B8">
              <w:rPr>
                <w:rFonts w:ascii="Times New Roman" w:hAnsi="Times New Roman" w:cs="Times New Roman"/>
              </w:rPr>
              <w:br/>
              <w:t xml:space="preserve">3. Kristalų kiekis </w:t>
            </w: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≥ </w:t>
            </w:r>
            <w:r w:rsidRPr="00B953B8">
              <w:rPr>
                <w:rFonts w:ascii="Times New Roman" w:hAnsi="Times New Roman" w:cs="Times New Roman"/>
                <w:color w:val="000000" w:themeColor="text1"/>
              </w:rPr>
              <w:t>160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Ultragarso aparato ergonomika </w:t>
            </w:r>
          </w:p>
        </w:tc>
        <w:tc>
          <w:tcPr>
            <w:tcW w:w="3312" w:type="dxa"/>
          </w:tcPr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1. Valdymo pulto padėtis reguliuojama – jį galima pasukti, pakelti ar nuleisti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2. Vaizdo monitoriaus padėtis reguliuojama – jį galima pasukti, palenkti bei pakelti ar nuleisti nepriklausomai nuo valdymo pulto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3. Skaitmeninė klaviatūra arba klaviatūra valdymo panelėje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4. TGC (angliškai: Time Gain Compensation) kreivės reguliavimas valdymo panelėje arba sensoriniame ekrane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 xml:space="preserve">5. Lietimui jautrus sistemos funkcijų valdymo monitorius ≥ 30 cm 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6. ≥ 4 aktyvios daviklių jungtys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Monitorius</w:t>
            </w:r>
          </w:p>
        </w:tc>
        <w:tc>
          <w:tcPr>
            <w:tcW w:w="3312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  <w:lang w:eastAsia="lt-LT"/>
              </w:rPr>
              <w:t>1. LED arba OLED, arba HDU, arba LCD technologijos (arba lygiavertės)</w:t>
            </w:r>
          </w:p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  <w:lang w:eastAsia="lt-LT"/>
              </w:rPr>
              <w:t>2. Ekrano įstrižainė ≥ 60 cm.</w:t>
            </w:r>
          </w:p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  <w:lang w:eastAsia="lt-LT"/>
              </w:rPr>
              <w:lastRenderedPageBreak/>
              <w:t>3. Skiriamoji geba ≥ (1920 x 1080) taškų</w:t>
            </w:r>
          </w:p>
          <w:p w:rsidR="00B953B8" w:rsidRPr="00D26AFE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  <w:lang w:eastAsia="lt-LT"/>
              </w:rPr>
              <w:t>4. Nulenkiamas į horizontalią padėtį transportavimo metu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  <w:lang w:eastAsia="lt-LT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Ultragarso sistemos architektūra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1. Dinaminis diapazonas ≥ 380 dB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2. Skaitmeninių kanalų skaičius ≥ 11 milijonų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  <w:lang w:eastAsia="lt-LT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Skenavimo režimai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1. 2D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2. Spalvinis dopleris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3. Galios dopleris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4. Pulsinės bangos dopleris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5. HPRF pulsinės bangos dopleris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6. M režimas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  <w:lang w:eastAsia="lt-LT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2D režimas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1. Trapecinis vaizdavimas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>2. Vaizdo didinimas realiu laiku ir sustabdytame vaizde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  <w:color w:val="000000" w:themeColor="text1"/>
                <w:lang w:eastAsia="lt-LT"/>
              </w:rPr>
              <w:t xml:space="preserve">3. </w:t>
            </w:r>
            <w:r w:rsidRPr="00B953B8">
              <w:rPr>
                <w:rFonts w:ascii="Times New Roman" w:hAnsi="Times New Roman" w:cs="Times New Roman"/>
              </w:rPr>
              <w:t>Vaizdo formavimo technologija, kuri sufokusuoja ultragarso spindulį visame tyrimo gylyje</w:t>
            </w:r>
          </w:p>
          <w:p w:rsidR="00B953B8" w:rsidRPr="00B953B8" w:rsidRDefault="00B953B8" w:rsidP="00B953B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  <w:lang w:eastAsia="lt-LT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>Vienmatis vaizdinimas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953B8">
              <w:rPr>
                <w:rFonts w:ascii="Times New Roman" w:hAnsi="Times New Roman" w:cs="Times New Roman"/>
                <w:lang w:eastAsia="ar-SA"/>
              </w:rPr>
              <w:t>1. Audinių (pilkų spalvų skalėje)</w:t>
            </w:r>
          </w:p>
          <w:p w:rsidR="00B953B8" w:rsidRPr="00B953B8" w:rsidRDefault="00B953B8" w:rsidP="00B953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B953B8">
              <w:rPr>
                <w:rFonts w:ascii="Times New Roman" w:hAnsi="Times New Roman" w:cs="Times New Roman"/>
                <w:lang w:eastAsia="ar-SA"/>
              </w:rPr>
              <w:t>2. Spalvinės tėkmės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  <w:lang w:eastAsia="ar-SA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 xml:space="preserve">Spektrinės doplerografijos režimai ir savybės 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 PW (pulsinis dopleris)</w:t>
            </w:r>
          </w:p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 HPRF (didelio impulsų pakartojimo dažnio dopleris)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audinių doplerografija</w:t>
            </w:r>
          </w:p>
          <w:p w:rsidR="00B953B8" w:rsidRPr="00B953B8" w:rsidRDefault="00B953B8" w:rsidP="00B953B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3. Dupleksinis vaizdinimas realiame laike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>4. Automatinė skenavimo parametrų optimizacija.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 xml:space="preserve">Spalvinės doplerografijos režimai ir savybės 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 Spalvinė tėkmės greičio doplerografija</w:t>
            </w:r>
          </w:p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953B8">
              <w:rPr>
                <w:rFonts w:ascii="Times New Roman" w:hAnsi="Times New Roman" w:cs="Times New Roman"/>
              </w:rPr>
              <w:t>2. Spalvinė tėkmės galios doplerografija</w:t>
            </w:r>
          </w:p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3. Tripleksinis vaizdavimas realiame laike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3261" w:type="dxa"/>
          </w:tcPr>
          <w:p w:rsidR="00B953B8" w:rsidRPr="00B953B8" w:rsidRDefault="00B953B8" w:rsidP="00B953B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Vaizdų išsaugojimas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  <w:tc>
          <w:tcPr>
            <w:tcW w:w="3312" w:type="dxa"/>
          </w:tcPr>
          <w:p w:rsidR="00B953B8" w:rsidRPr="00B953B8" w:rsidRDefault="00B953B8" w:rsidP="00B953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 Statinių ir dinaminių vaizdų archyvavimas vidinėje prietaiso atmintyje, išsaugant visą pradinę informaciją apie signalą</w:t>
            </w:r>
          </w:p>
          <w:p w:rsidR="00B953B8" w:rsidRPr="00B953B8" w:rsidRDefault="00B953B8" w:rsidP="00B953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 xml:space="preserve">2. Statinių vaizdų konvertavimo galimybė į BMP, JPEG arba lygiaverčius formatus, </w:t>
            </w:r>
          </w:p>
          <w:p w:rsidR="00B953B8" w:rsidRPr="00B953B8" w:rsidRDefault="00B953B8" w:rsidP="00B953B8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3. Dinaminių vaizdų konvertavimo galimybė į MP4 arba WMI, arba MPEG, arba lygiaverčius formatu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>4. Vaizdų išsaugojimo USB jungtimi prijungiamose išorinėse laikmenose galimybė.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B953B8" w:rsidRPr="00B953B8" w:rsidTr="00E11C27">
        <w:trPr>
          <w:trHeight w:val="20"/>
        </w:trPr>
        <w:tc>
          <w:tcPr>
            <w:tcW w:w="580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345" w:type="dxa"/>
          </w:tcPr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>DICOM standarto programinė įranga</w:t>
            </w:r>
          </w:p>
        </w:tc>
        <w:tc>
          <w:tcPr>
            <w:tcW w:w="3312" w:type="dxa"/>
          </w:tcPr>
          <w:p w:rsidR="00B953B8" w:rsidRPr="00B953B8" w:rsidRDefault="00B953B8" w:rsidP="00B953B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1. Vaizdų archyvavimas DICOM protokolu: DICOM structured report, DICOM DICOM worklist; DICOM store arba DICOM send; DICOM Query/Retrieve);</w:t>
            </w:r>
          </w:p>
          <w:p w:rsidR="00B953B8" w:rsidRPr="00B953B8" w:rsidRDefault="00B953B8" w:rsidP="00B953B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53B8">
              <w:rPr>
                <w:rFonts w:ascii="Times New Roman" w:hAnsi="Times New Roman" w:cs="Times New Roman"/>
              </w:rPr>
              <w:t>2. Statinių ir dinaminių vaizdų persiuntimas pagal DICOM send arba store protokolus išsaugant pradinę informaciją (angl. Raw data)</w:t>
            </w:r>
          </w:p>
          <w:p w:rsidR="00B953B8" w:rsidRPr="00B953B8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B953B8">
              <w:rPr>
                <w:rFonts w:ascii="Times New Roman" w:hAnsi="Times New Roman" w:cs="Times New Roman"/>
              </w:rPr>
              <w:t>3. Prietaisas prijungiamas prie ligoninės vaizdų archyvavimo ir saugojimo sistemos PACS, veikiančios DICOM formatu.</w:t>
            </w:r>
          </w:p>
        </w:tc>
        <w:tc>
          <w:tcPr>
            <w:tcW w:w="3261" w:type="dxa"/>
          </w:tcPr>
          <w:p w:rsidR="00B953B8" w:rsidRPr="00B953B8" w:rsidRDefault="00B953B8" w:rsidP="00B953B8">
            <w:pPr>
              <w:tabs>
                <w:tab w:val="left" w:pos="264"/>
                <w:tab w:val="left" w:pos="547"/>
              </w:tabs>
              <w:spacing w:after="0" w:line="240" w:lineRule="auto"/>
              <w:rPr>
                <w:rFonts w:ascii="Times New Roman" w:hAnsi="Times New Roman" w:cs="Times New Roman"/>
                <w:i/>
                <w:color w:val="7030A0"/>
                <w:u w:val="single"/>
              </w:rPr>
            </w:pPr>
          </w:p>
        </w:tc>
      </w:tr>
      <w:tr w:rsidR="00D26AFE" w:rsidRPr="00D26AFE" w:rsidTr="00E11C27">
        <w:trPr>
          <w:trHeight w:val="20"/>
        </w:trPr>
        <w:tc>
          <w:tcPr>
            <w:tcW w:w="580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45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</w:rPr>
              <w:t>Priedai ir jų savybės</w:t>
            </w:r>
          </w:p>
        </w:tc>
        <w:tc>
          <w:tcPr>
            <w:tcW w:w="3312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1. Integruotas nespalvotas vaizdo spausdintuvas.</w:t>
            </w:r>
          </w:p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2. Gelio šildytuvas</w:t>
            </w:r>
          </w:p>
        </w:tc>
        <w:tc>
          <w:tcPr>
            <w:tcW w:w="3261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D26AFE" w:rsidRPr="00D26AFE" w:rsidTr="00E11C27">
        <w:trPr>
          <w:trHeight w:val="20"/>
        </w:trPr>
        <w:tc>
          <w:tcPr>
            <w:tcW w:w="580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6AF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45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</w:rPr>
              <w:t>Ultragarsinio diagnostinio prietaiso apsauga nuo elektros energijos tiekimo iš elektros tinklo sutrikimų</w:t>
            </w:r>
          </w:p>
        </w:tc>
        <w:tc>
          <w:tcPr>
            <w:tcW w:w="3312" w:type="dxa"/>
          </w:tcPr>
          <w:p w:rsidR="00B953B8" w:rsidRPr="00D26AFE" w:rsidRDefault="00D26AFE" w:rsidP="00D26AFE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D26AFE">
              <w:rPr>
                <w:rFonts w:ascii="Times New Roman" w:hAnsi="Times New Roman" w:cs="Times New Roman"/>
              </w:rPr>
              <w:t xml:space="preserve">Integruotas apsauginis </w:t>
            </w:r>
            <w:r w:rsidR="00B953B8" w:rsidRPr="00D26AFE">
              <w:rPr>
                <w:rFonts w:ascii="Times New Roman" w:hAnsi="Times New Roman" w:cs="Times New Roman"/>
              </w:rPr>
              <w:t>nepertraukiamo maitinimo šaltinis („UPS“ tipo arba lygiavertis) arba prietaise integruotas atsarginio maitinimo akumuliatorius</w:t>
            </w:r>
          </w:p>
        </w:tc>
        <w:tc>
          <w:tcPr>
            <w:tcW w:w="3261" w:type="dxa"/>
          </w:tcPr>
          <w:p w:rsidR="00B953B8" w:rsidRPr="00D26AFE" w:rsidRDefault="00B953B8" w:rsidP="00B953B8">
            <w:pPr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</w:tbl>
    <w:p w:rsidR="001B768D" w:rsidRPr="00D26AFE" w:rsidRDefault="001B768D" w:rsidP="00465A88">
      <w:pPr>
        <w:jc w:val="center"/>
      </w:pPr>
    </w:p>
    <w:p w:rsidR="001B768D" w:rsidRPr="00D26AFE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Pr="001B768D" w:rsidRDefault="001B768D" w:rsidP="001B768D"/>
    <w:p w:rsidR="001B768D" w:rsidRDefault="001B768D" w:rsidP="001B768D"/>
    <w:p w:rsidR="00465A88" w:rsidRDefault="001B768D" w:rsidP="001B768D">
      <w:pPr>
        <w:tabs>
          <w:tab w:val="left" w:pos="4200"/>
        </w:tabs>
      </w:pPr>
      <w:r>
        <w:tab/>
      </w:r>
    </w:p>
    <w:p w:rsidR="001B768D" w:rsidRDefault="001B768D" w:rsidP="001B768D">
      <w:pPr>
        <w:tabs>
          <w:tab w:val="left" w:pos="4200"/>
        </w:tabs>
      </w:pP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EKONOMIŠKAI NAUDINGIAUSIO (KAINOS IR KOKYBĖS SANTYKIO)</w:t>
      </w: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PASIŪLYMO VERTINIMO KRITERIJAI IR TVARKA</w:t>
      </w: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Ultragarsinė diagnostinė sistema</w:t>
      </w: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Perkančioji organizacija pasiūlymus vertins pagal kainos ir kokybės santykio kriterijų. Numatytų vertinimo kriterijų lyginamieji svoriai:</w:t>
      </w: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kaina (C) – 70;</w:t>
      </w: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techniniai pranašumai (T) – 30;</w:t>
      </w: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</w:p>
    <w:p w:rsidR="001B768D" w:rsidRDefault="001B768D" w:rsidP="001B768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Vertinimo kriterijai ir jų parametrų lyginamieji svoriai:</w:t>
      </w:r>
    </w:p>
    <w:p w:rsidR="001B768D" w:rsidRDefault="001B768D" w:rsidP="001B768D">
      <w:pPr>
        <w:tabs>
          <w:tab w:val="left" w:pos="567"/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8"/>
        <w:gridCol w:w="4608"/>
        <w:gridCol w:w="1608"/>
        <w:gridCol w:w="1368"/>
        <w:gridCol w:w="1461"/>
      </w:tblGrid>
      <w:tr w:rsidR="001B768D" w:rsidTr="00381E94">
        <w:trPr>
          <w:cantSplit/>
          <w:tblHeader/>
        </w:trPr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ind w:right="-456" w:firstLine="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Vertinimo kriterijai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Parametro lyginamasis svoris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Lyginamasis svoris ekonominio naudingumo įvertinime</w:t>
            </w:r>
          </w:p>
        </w:tc>
      </w:tr>
      <w:tr w:rsidR="001B768D" w:rsidTr="00381E94">
        <w:trPr>
          <w:cantSplit/>
          <w:trHeight w:val="374"/>
        </w:trPr>
        <w:tc>
          <w:tcPr>
            <w:tcW w:w="8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Kaina (C)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X=70</w:t>
            </w:r>
          </w:p>
        </w:tc>
      </w:tr>
      <w:tr w:rsidR="001B768D" w:rsidTr="00381E94">
        <w:trPr>
          <w:cantSplit/>
          <w:trHeight w:val="472"/>
        </w:trPr>
        <w:tc>
          <w:tcPr>
            <w:tcW w:w="8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Ultragarsinės diagnostinės sistemos techniniai pranašumai (T)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Y=30</w:t>
            </w:r>
          </w:p>
        </w:tc>
      </w:tr>
      <w:tr w:rsidR="001B768D" w:rsidTr="00381E94">
        <w:trPr>
          <w:trHeight w:val="55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ind w:left="-851" w:firstLine="85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tabs>
                <w:tab w:val="center" w:pos="2656"/>
              </w:tabs>
              <w:spacing w:after="0"/>
              <w:ind w:firstLine="3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Parametras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8D" w:rsidRDefault="001B768D" w:rsidP="00381E9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Palyginamasis / Statinis (Taip/Ne)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D" w:rsidTr="00381E9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tabs>
                <w:tab w:val="left" w:pos="14175"/>
              </w:tabs>
              <w:ind w:right="-86"/>
              <w:rPr>
                <w:rFonts w:ascii="Times New Roman" w:hAnsi="Times New Roman" w:cs="Times New Roman"/>
                <w:lang w:bidi="lt-LT"/>
              </w:rPr>
            </w:pPr>
            <w:r>
              <w:rPr>
                <w:rFonts w:ascii="Times New Roman" w:hAnsi="Times New Roman" w:cs="Times New Roman"/>
                <w:lang w:bidi="lt-LT"/>
              </w:rPr>
              <w:t xml:space="preserve">Įrangai suteikiama ilgesnė negu 24 mėn. garantija. </w:t>
            </w:r>
          </w:p>
          <w:p w:rsidR="001B768D" w:rsidRDefault="001B768D" w:rsidP="00381E94">
            <w:pPr>
              <w:tabs>
                <w:tab w:val="left" w:pos="14175"/>
              </w:tabs>
              <w:ind w:right="5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bidi="lt-LT"/>
              </w:rPr>
              <w:t>Pastaba: Balas skiriamas už kiekvienus papildomus 12 mėn.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= 0,2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D" w:rsidTr="00381E9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D26AFE" w:rsidP="00381E94">
            <w:pPr>
              <w:spacing w:after="0"/>
              <w:ind w:left="3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971C2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Monitoriaus (techninės specifikacijos  3.5 p.) </w:t>
            </w:r>
            <w:r>
              <w:rPr>
                <w:rFonts w:ascii="Times New Roman" w:hAnsi="Times New Roman" w:cs="Times New Roman"/>
              </w:rPr>
              <w:t>l</w:t>
            </w:r>
            <w:r w:rsidRPr="00A971C2">
              <w:rPr>
                <w:rFonts w:ascii="Times New Roman" w:hAnsi="Times New Roman" w:cs="Times New Roman"/>
              </w:rPr>
              <w:t xml:space="preserve">ietimui jautrus sistemos funkcijų valdymo monitorius </w:t>
            </w:r>
            <w:r>
              <w:rPr>
                <w:rFonts w:ascii="Times New Roman" w:hAnsi="Times New Roman" w:cs="Times New Roman"/>
                <w:lang w:eastAsia="lt-LT"/>
              </w:rPr>
              <w:t>cm</w:t>
            </w:r>
            <w:bookmarkStart w:id="1" w:name="_GoBack"/>
            <w:bookmarkEnd w:id="1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= 0,3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D" w:rsidTr="00381E9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≥ 500 GB talpos vidinis kietasis diskas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= 0,2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68D" w:rsidTr="00381E9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T4.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Monitoriaus ekranas – „anti glare“ arba lygiavertės atspindžių mažinimo technologijos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Palyginamasis: interpoliacinis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68D" w:rsidRDefault="001B768D" w:rsidP="00381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= 0,3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768D" w:rsidRDefault="001B768D" w:rsidP="00381E94">
            <w:pPr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768D" w:rsidRDefault="001B768D" w:rsidP="001B768D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1B768D" w:rsidRDefault="001B768D" w:rsidP="001B768D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Pasiūlymo ekonominio naudingumo (kainos ir kokybės santykio) apskaičiavimo tvarka (formulė) yra pateikiama žemiau:</w:t>
      </w:r>
    </w:p>
    <w:p w:rsidR="001B768D" w:rsidRDefault="001B768D" w:rsidP="001B768D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Pasiūlymo ekonominis naudingumas (S) apskaičiuojamas sudedant tiekėjo pasiūlymo kainos (C) ir techninių pranašumų (T) balus:</w:t>
      </w:r>
    </w:p>
    <w:p w:rsidR="001B768D" w:rsidRDefault="001B768D" w:rsidP="001B768D">
      <w:pPr>
        <w:widowControl w:val="0"/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S </w:t>
      </w:r>
      <w:r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i/>
          <w:iCs/>
        </w:rPr>
        <w:t>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+ T</w:t>
      </w:r>
    </w:p>
    <w:p w:rsidR="001B768D" w:rsidRDefault="001B768D" w:rsidP="001B768D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Pasiūlymo kainos (C) balai apskaičiuojami mažiausios pasiūlytos kainos (C</w:t>
      </w:r>
      <w:r>
        <w:rPr>
          <w:rFonts w:ascii="Times New Roman" w:hAnsi="Times New Roman" w:cs="Times New Roman"/>
          <w:vertAlign w:val="subscript"/>
        </w:rPr>
        <w:t>min</w:t>
      </w:r>
      <w:r>
        <w:rPr>
          <w:rFonts w:ascii="Times New Roman" w:hAnsi="Times New Roman" w:cs="Times New Roman"/>
        </w:rPr>
        <w:t>) ir vertinamo pasiūlymo kainos (C</w:t>
      </w:r>
      <w:r>
        <w:rPr>
          <w:rFonts w:ascii="Times New Roman" w:hAnsi="Times New Roman" w:cs="Times New Roman"/>
          <w:vertAlign w:val="subscript"/>
        </w:rPr>
        <w:t>v</w:t>
      </w:r>
      <w:r>
        <w:rPr>
          <w:rFonts w:ascii="Times New Roman" w:hAnsi="Times New Roman" w:cs="Times New Roman"/>
        </w:rPr>
        <w:t>) santykį padauginant iš kainos lyginamojo svorio (X):</w:t>
      </w:r>
    </w:p>
    <w:p w:rsidR="001B768D" w:rsidRDefault="001B768D" w:rsidP="001B768D">
      <w:pPr>
        <w:spacing w:after="0"/>
        <w:jc w:val="center"/>
        <w:rPr>
          <w:rFonts w:ascii="Times New Roman" w:eastAsia="Cambria Math" w:hAnsi="Times New Roman" w:cs="Times New Roman"/>
        </w:rPr>
      </w:pPr>
      <m:oMathPara>
        <m:oMath>
          <m:r>
            <w:rPr>
              <w:rFonts w:ascii="Cambria Math" w:eastAsia="Cambria Math" w:hAnsi="Cambria Math" w:cs="Times New Roman"/>
            </w:rPr>
            <m:t>C=</m:t>
          </m:r>
          <m:f>
            <m:fPr>
              <m:ctrlPr>
                <w:rPr>
                  <w:rFonts w:ascii="Cambria Math" w:eastAsia="Cambria Math" w:hAnsi="Cambria Math" w:cs="Times New Roman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eastAsia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imes New Roman"/>
                    </w:rPr>
                    <m:t>v</m:t>
                  </m:r>
                </m:sub>
              </m:sSub>
            </m:den>
          </m:f>
          <m:r>
            <w:rPr>
              <w:rFonts w:ascii="Cambria Math" w:eastAsia="Cambria Math" w:hAnsi="Cambria Math" w:cs="Times New Roman"/>
            </w:rPr>
            <m:t xml:space="preserve"> ×X</m:t>
          </m:r>
        </m:oMath>
      </m:oMathPara>
    </w:p>
    <w:p w:rsidR="001B768D" w:rsidRDefault="001B768D" w:rsidP="001B768D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Siūlomo objekto </w:t>
      </w:r>
      <w:bookmarkStart w:id="2" w:name="_Hlk216975104"/>
      <w:bookmarkStart w:id="3" w:name="_Hlk216975155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bookmarkEnd w:id="2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2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, </w:t>
      </w:r>
      <w:bookmarkEnd w:id="3"/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3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techniniai parametrai aprašomi palyginamuoju interpoliaciniu vertinimo būdu, todėl parametro įvertinimas apskaičiuojamas pagal metodiką:</w:t>
      </w:r>
    </w:p>
    <w:p w:rsidR="001B768D" w:rsidRDefault="001B768D" w:rsidP="001B768D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Jei siūlomas objektas turi parametro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2,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3,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didžiausią skaitinę vertę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max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) gauna maksimalų balų skaičių pagal lyginamąjį svorį: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i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= L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i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. Mažiausią parametrų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1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,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 xml:space="preserve">2,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3,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T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  <w:vertAlign w:val="subscript"/>
        </w:rPr>
        <w:t>4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 xml:space="preserve">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skaitinę vertę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min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) turintis objektas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lastRenderedPageBreak/>
        <w:t>gauna 0 balų: 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i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 xml:space="preserve"> = 0 </w:t>
      </w:r>
      <w:r>
        <w:rPr>
          <w:rFonts w:ascii="Times New Roman" w:eastAsia="Arial Unicode MS" w:hAnsi="Times New Roman" w:cs="Times New Roman"/>
          <w:i/>
          <w:noProof/>
          <w:bdr w:val="none" w:sz="0" w:space="0" w:color="auto" w:frame="1"/>
        </w:rPr>
        <w:t xml:space="preserve">. 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Visais kitais atvejais vertinamo objekto (T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  <w:vertAlign w:val="subscript"/>
        </w:rPr>
        <w:t>v</w:t>
      </w:r>
      <w:r>
        <w:rPr>
          <w:rFonts w:ascii="Times New Roman" w:eastAsia="Arial Unicode MS" w:hAnsi="Times New Roman" w:cs="Times New Roman"/>
          <w:noProof/>
          <w:bdr w:val="none" w:sz="0" w:space="0" w:color="auto" w:frame="1"/>
        </w:rPr>
        <w:t>) parametro įvertinimas skaičiuojamas pagal formulę</w:t>
      </w:r>
      <w:r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  <w:t>:</w:t>
      </w:r>
    </w:p>
    <w:p w:rsidR="001B768D" w:rsidRDefault="003445DF" w:rsidP="001B768D">
      <w:pPr>
        <w:shd w:val="clear" w:color="auto" w:fill="FFFFFF"/>
        <w:jc w:val="center"/>
        <w:rPr>
          <w:rFonts w:ascii="Times New Roman" w:eastAsia="Arial Unicode MS" w:hAnsi="Times New Roman" w:cs="Times New Roman"/>
          <w:noProof/>
          <w:color w:val="000000" w:themeColor="text1"/>
          <w:bdr w:val="none" w:sz="0" w:space="0" w:color="auto" w:frame="1"/>
        </w:rPr>
      </w:pPr>
      <m:oMathPara>
        <m:oMath>
          <m:sSub>
            <m:sSub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Arial Unicode MS" w:hAnsi="Cambria Math" w:cs="Times New Roman"/>
              <w:noProof/>
              <w:color w:val="000000" w:themeColor="text1"/>
              <w:bdr w:val="none" w:sz="0" w:space="0" w:color="auto" w:frame="1"/>
            </w:rPr>
            <m:t>=</m:t>
          </m:r>
          <m:f>
            <m:f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fPr>
            <m:num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v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-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 xml:space="preserve">- </m:t>
              </m:r>
              <m:sSub>
                <m:sSubPr>
                  <m:ctrl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Arial Unicode MS" w:hAnsi="Cambria Math" w:cs="Times New Roman"/>
                      <w:noProof/>
                      <w:color w:val="000000" w:themeColor="text1"/>
                      <w:bdr w:val="none" w:sz="0" w:space="0" w:color="auto" w:frame="1"/>
                    </w:rPr>
                    <m:t>min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Arial Unicode MS" w:hAnsi="Cambria Math" w:cs="Times New Roman"/>
              <w:noProof/>
              <w:color w:val="000000" w:themeColor="text1"/>
              <w:bdr w:val="none" w:sz="0" w:space="0" w:color="auto" w:frame="1"/>
            </w:rPr>
            <m:t xml:space="preserve"> ×</m:t>
          </m:r>
          <m:sSub>
            <m:sSubPr>
              <m:ctrl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eastAsia="Arial Unicode MS" w:hAnsi="Cambria Math" w:cs="Times New Roman"/>
                  <w:noProof/>
                  <w:color w:val="000000" w:themeColor="text1"/>
                  <w:bdr w:val="none" w:sz="0" w:space="0" w:color="auto" w:frame="1"/>
                </w:rPr>
                <m:t>i</m:t>
              </m:r>
            </m:sub>
          </m:sSub>
        </m:oMath>
      </m:oMathPara>
    </w:p>
    <w:p w:rsidR="001B768D" w:rsidRDefault="001B768D" w:rsidP="001B768D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</w:p>
    <w:p w:rsidR="001B768D" w:rsidRDefault="001B768D" w:rsidP="001B768D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</w:p>
    <w:p w:rsidR="001B768D" w:rsidRDefault="001B768D" w:rsidP="001B768D">
      <w:pPr>
        <w:shd w:val="clear" w:color="auto" w:fill="FFFFFF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color w:val="000000" w:themeColor="text1"/>
          <w:bdr w:val="none" w:sz="0" w:space="0" w:color="auto" w:frame="1"/>
        </w:rPr>
        <w:t>14.5.4. Techninių pranašumų (T) balai apskaičiuojami visų techninių kriterijų parametrų įvertinimų sumą padauginant iš techninių pranašumų lyginamojo svorio (Y):</w:t>
      </w:r>
    </w:p>
    <w:p w:rsidR="001B768D" w:rsidRPr="001B768D" w:rsidRDefault="001B768D" w:rsidP="001B768D">
      <w:pPr>
        <w:tabs>
          <w:tab w:val="left" w:pos="4200"/>
        </w:tabs>
      </w:pPr>
      <m:oMathPara>
        <m:oMath>
          <m:r>
            <m:rPr>
              <m:sty m:val="p"/>
            </m:rPr>
            <w:rPr>
              <w:rFonts w:ascii="Cambria Math" w:eastAsia="Helvetica Neue UltraLight" w:hAnsi="Cambria Math" w:cs="Times New Roman"/>
              <w:color w:val="000000" w:themeColor="text1"/>
              <w:bdr w:val="none" w:sz="0" w:space="0" w:color="auto" w:frame="1"/>
            </w:rPr>
            <m:t xml:space="preserve">T= </m:t>
          </m:r>
          <m:d>
            <m:dPr>
              <m:ctrlPr>
                <w:rPr>
                  <w:rFonts w:ascii="Cambria Math" w:eastAsia="Helvetica Neue UltraLight" w:hAnsi="Cambria Math"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</m:ctrlPr>
            </m:dPr>
            <m:e>
              <m:nary>
                <m:naryPr>
                  <m:chr m:val="∑"/>
                  <m:grow m:val="1"/>
                  <m:ctrlPr>
                    <w:rPr>
                      <w:rFonts w:ascii="Cambria Math" w:eastAsia="Helvetica Neue UltraLight" w:hAnsi="Cambria Math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color w:val="000000" w:themeColor="text1"/>
                      <w:bdr w:val="none" w:sz="0" w:space="0" w:color="auto" w:frame="1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Helvetica Neue UltraLight" w:hAnsi="Cambria Math" w:cs="Times New Roman"/>
                      <w:color w:val="000000" w:themeColor="text1"/>
                      <w:bdr w:val="none" w:sz="0" w:space="0" w:color="auto" w:frame="1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sz w:val="24"/>
                          <w:szCs w:val="24"/>
                          <w:bdr w:val="none" w:sz="0" w:space="0" w:color="auto" w:frame="1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bdr w:val="none" w:sz="0" w:space="0" w:color="auto" w:frame="1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Helvetica Neue UltraLight" w:hAnsi="Cambria Math" w:cs="Times New Roman"/>
                          <w:color w:val="000000" w:themeColor="text1"/>
                          <w:bdr w:val="none" w:sz="0" w:space="0" w:color="auto" w:frame="1"/>
                        </w:rPr>
                        <m:t>i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eastAsia="Helvetica Neue UltraLight" w:hAnsi="Cambria Math" w:cs="Times New Roman"/>
              <w:color w:val="000000" w:themeColor="text1"/>
              <w:bdr w:val="none" w:sz="0" w:space="0" w:color="auto" w:frame="1"/>
            </w:rPr>
            <m:t>×Y</m:t>
          </m:r>
        </m:oMath>
      </m:oMathPara>
    </w:p>
    <w:sectPr w:rsidR="001B768D" w:rsidRPr="001B76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5DF" w:rsidRDefault="003445DF" w:rsidP="001B768D">
      <w:pPr>
        <w:spacing w:after="0" w:line="240" w:lineRule="auto"/>
      </w:pPr>
      <w:r>
        <w:separator/>
      </w:r>
    </w:p>
  </w:endnote>
  <w:endnote w:type="continuationSeparator" w:id="0">
    <w:p w:rsidR="003445DF" w:rsidRDefault="003445DF" w:rsidP="001B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5DF" w:rsidRDefault="003445DF" w:rsidP="001B768D">
      <w:pPr>
        <w:spacing w:after="0" w:line="240" w:lineRule="auto"/>
      </w:pPr>
      <w:r>
        <w:separator/>
      </w:r>
    </w:p>
  </w:footnote>
  <w:footnote w:type="continuationSeparator" w:id="0">
    <w:p w:rsidR="003445DF" w:rsidRDefault="003445DF" w:rsidP="001B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80D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BA41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88"/>
    <w:rsid w:val="00076C72"/>
    <w:rsid w:val="00082D75"/>
    <w:rsid w:val="000D21C7"/>
    <w:rsid w:val="000D725B"/>
    <w:rsid w:val="001B768D"/>
    <w:rsid w:val="00211A3C"/>
    <w:rsid w:val="0026354A"/>
    <w:rsid w:val="002A1ED2"/>
    <w:rsid w:val="002D38D0"/>
    <w:rsid w:val="002F12C3"/>
    <w:rsid w:val="003445DF"/>
    <w:rsid w:val="003509AF"/>
    <w:rsid w:val="004077FA"/>
    <w:rsid w:val="00465A88"/>
    <w:rsid w:val="004C4A19"/>
    <w:rsid w:val="005330DF"/>
    <w:rsid w:val="006B3523"/>
    <w:rsid w:val="006B716E"/>
    <w:rsid w:val="00797E2F"/>
    <w:rsid w:val="007A3271"/>
    <w:rsid w:val="007F0D6D"/>
    <w:rsid w:val="008F5B4F"/>
    <w:rsid w:val="00913C1C"/>
    <w:rsid w:val="00991D98"/>
    <w:rsid w:val="00995D14"/>
    <w:rsid w:val="00A86CA9"/>
    <w:rsid w:val="00AA5B8F"/>
    <w:rsid w:val="00AC7DA6"/>
    <w:rsid w:val="00B27637"/>
    <w:rsid w:val="00B36573"/>
    <w:rsid w:val="00B579DA"/>
    <w:rsid w:val="00B6698A"/>
    <w:rsid w:val="00B953B8"/>
    <w:rsid w:val="00BA648E"/>
    <w:rsid w:val="00CA7BFF"/>
    <w:rsid w:val="00D26AFE"/>
    <w:rsid w:val="00E52E66"/>
    <w:rsid w:val="00F17A7E"/>
    <w:rsid w:val="00F7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F03AC-D902-4695-8217-533ACEC3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5A8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link w:val="Pagrindinistekstas"/>
    <w:rsid w:val="00465A88"/>
    <w:rPr>
      <w:rFonts w:ascii="Times New Roman" w:eastAsia="Times New Roman" w:hAnsi="Times New Roman" w:cs="Times New Roman"/>
      <w:b/>
      <w:bCs/>
    </w:rPr>
  </w:style>
  <w:style w:type="paragraph" w:styleId="Pagrindinistekstas">
    <w:name w:val="Body Text"/>
    <w:basedOn w:val="prastasis"/>
    <w:link w:val="PagrindinistekstasDiagrama"/>
    <w:qFormat/>
    <w:rsid w:val="00465A88"/>
    <w:pPr>
      <w:widowControl w:val="0"/>
      <w:spacing w:after="2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465A88"/>
  </w:style>
  <w:style w:type="paragraph" w:styleId="Sraopastraipa">
    <w:name w:val="List Paragraph"/>
    <w:basedOn w:val="prastasis"/>
    <w:uiPriority w:val="34"/>
    <w:qFormat/>
    <w:rsid w:val="00465A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ntrats">
    <w:name w:val="header"/>
    <w:basedOn w:val="prastasis"/>
    <w:link w:val="AntratsDiagrama"/>
    <w:uiPriority w:val="99"/>
    <w:unhideWhenUsed/>
    <w:rsid w:val="001B7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768D"/>
  </w:style>
  <w:style w:type="paragraph" w:styleId="Porat">
    <w:name w:val="footer"/>
    <w:basedOn w:val="prastasis"/>
    <w:link w:val="PoratDiagrama"/>
    <w:uiPriority w:val="99"/>
    <w:unhideWhenUsed/>
    <w:rsid w:val="001B76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3986</Words>
  <Characters>2273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2026-03-30T13:42:00Z</dcterms:created>
  <dcterms:modified xsi:type="dcterms:W3CDTF">2026-03-30T13:42:00Z</dcterms:modified>
</cp:coreProperties>
</file>