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18F" w:rsidRPr="00C27A52" w:rsidRDefault="0013618F" w:rsidP="0013618F">
      <w:pPr>
        <w:tabs>
          <w:tab w:val="right" w:pos="8505"/>
        </w:tabs>
        <w:jc w:val="center"/>
        <w:rPr>
          <w:i/>
          <w:iCs/>
          <w:lang w:val="lt-LT"/>
        </w:rPr>
      </w:pPr>
      <w:r w:rsidRPr="00C27A52">
        <w:rPr>
          <w:b/>
          <w:bCs/>
          <w:lang w:val="lt-LT"/>
        </w:rPr>
        <w:t>HOLTER SISTEMOS SU ĮRAŠYMO ĮRENGINIU</w:t>
      </w:r>
    </w:p>
    <w:p w:rsidR="0013618F" w:rsidRPr="00C27A52" w:rsidRDefault="0013618F" w:rsidP="0013618F">
      <w:pPr>
        <w:jc w:val="center"/>
        <w:rPr>
          <w:b/>
          <w:bCs/>
          <w:lang w:val="lt-LT"/>
        </w:rPr>
      </w:pPr>
    </w:p>
    <w:p w:rsidR="000D21C7" w:rsidRPr="00C27A52" w:rsidRDefault="0013618F" w:rsidP="0013618F">
      <w:pPr>
        <w:jc w:val="center"/>
        <w:rPr>
          <w:b/>
          <w:bCs/>
          <w:lang w:val="lt-LT"/>
        </w:rPr>
      </w:pPr>
      <w:r w:rsidRPr="00C27A52">
        <w:rPr>
          <w:b/>
          <w:bCs/>
          <w:lang w:val="lt-LT"/>
        </w:rPr>
        <w:t>TECHNINĖ SPECIFIKACIJA</w:t>
      </w:r>
    </w:p>
    <w:p w:rsidR="0013618F" w:rsidRPr="00C27A52" w:rsidRDefault="0013618F" w:rsidP="0013618F">
      <w:pPr>
        <w:jc w:val="center"/>
        <w:rPr>
          <w:b/>
          <w:bCs/>
          <w:lang w:val="lt-LT"/>
        </w:rPr>
      </w:pPr>
    </w:p>
    <w:p w:rsidR="0013618F" w:rsidRPr="00C27A52" w:rsidRDefault="0013618F" w:rsidP="0013618F">
      <w:pPr>
        <w:jc w:val="center"/>
        <w:rPr>
          <w:b/>
          <w:bCs/>
          <w:lang w:val="lt-LT"/>
        </w:rPr>
      </w:pPr>
    </w:p>
    <w:tbl>
      <w:tblPr>
        <w:tblW w:w="9927"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261"/>
        <w:gridCol w:w="3118"/>
        <w:gridCol w:w="2977"/>
      </w:tblGrid>
      <w:tr w:rsidR="00C27A52" w:rsidRPr="00C27A52" w:rsidTr="0033558D">
        <w:tc>
          <w:tcPr>
            <w:tcW w:w="571" w:type="dxa"/>
            <w:tcBorders>
              <w:top w:val="single" w:sz="4" w:space="0" w:color="auto"/>
              <w:left w:val="single" w:sz="4" w:space="0" w:color="auto"/>
              <w:bottom w:val="single" w:sz="4" w:space="0" w:color="auto"/>
              <w:right w:val="single" w:sz="4" w:space="0" w:color="auto"/>
            </w:tcBorders>
          </w:tcPr>
          <w:p w:rsidR="0013618F" w:rsidRPr="00CE7AE5" w:rsidRDefault="0013618F" w:rsidP="0033558D">
            <w:pPr>
              <w:keepNext/>
              <w:jc w:val="center"/>
              <w:outlineLvl w:val="2"/>
              <w:rPr>
                <w:rFonts w:eastAsia="Cambria"/>
                <w:b/>
                <w:sz w:val="22"/>
                <w:szCs w:val="22"/>
                <w:lang w:val="lt-LT"/>
              </w:rPr>
            </w:pPr>
            <w:r w:rsidRPr="00CE7AE5">
              <w:rPr>
                <w:rFonts w:eastAsia="Cambria"/>
                <w:b/>
                <w:sz w:val="22"/>
                <w:szCs w:val="22"/>
                <w:lang w:val="lt-LT"/>
              </w:rPr>
              <w:t>Eil.</w:t>
            </w:r>
          </w:p>
          <w:p w:rsidR="0013618F" w:rsidRPr="00CE7AE5" w:rsidRDefault="0013618F" w:rsidP="0033558D">
            <w:pPr>
              <w:keepNext/>
              <w:jc w:val="center"/>
              <w:outlineLvl w:val="2"/>
              <w:rPr>
                <w:rFonts w:eastAsia="Cambria"/>
                <w:b/>
                <w:sz w:val="22"/>
                <w:szCs w:val="22"/>
                <w:lang w:val="lt-LT"/>
              </w:rPr>
            </w:pPr>
            <w:r w:rsidRPr="00CE7AE5">
              <w:rPr>
                <w:rFonts w:eastAsia="Cambria"/>
                <w:b/>
                <w:sz w:val="22"/>
                <w:szCs w:val="22"/>
                <w:lang w:val="lt-LT"/>
              </w:rPr>
              <w:t>Nr.</w:t>
            </w:r>
          </w:p>
        </w:tc>
        <w:tc>
          <w:tcPr>
            <w:tcW w:w="3261" w:type="dxa"/>
            <w:tcBorders>
              <w:top w:val="single" w:sz="4" w:space="0" w:color="auto"/>
              <w:left w:val="single" w:sz="4" w:space="0" w:color="auto"/>
              <w:bottom w:val="single" w:sz="4" w:space="0" w:color="auto"/>
              <w:right w:val="single" w:sz="4" w:space="0" w:color="auto"/>
            </w:tcBorders>
          </w:tcPr>
          <w:p w:rsidR="0013618F" w:rsidRPr="00CE7AE5" w:rsidRDefault="0013618F" w:rsidP="0033558D">
            <w:pPr>
              <w:jc w:val="center"/>
              <w:rPr>
                <w:rFonts w:eastAsia="Cambria"/>
                <w:b/>
                <w:sz w:val="22"/>
                <w:szCs w:val="22"/>
                <w:lang w:val="lt-LT"/>
              </w:rPr>
            </w:pPr>
            <w:r w:rsidRPr="00CE7AE5">
              <w:rPr>
                <w:b/>
                <w:sz w:val="22"/>
                <w:szCs w:val="22"/>
                <w:lang w:val="lt-LT"/>
              </w:rPr>
              <w:t>Parametrai (specifikacija)</w:t>
            </w:r>
          </w:p>
        </w:tc>
        <w:tc>
          <w:tcPr>
            <w:tcW w:w="3118" w:type="dxa"/>
            <w:tcBorders>
              <w:top w:val="single" w:sz="4" w:space="0" w:color="auto"/>
              <w:left w:val="single" w:sz="4" w:space="0" w:color="auto"/>
              <w:bottom w:val="single" w:sz="4" w:space="0" w:color="auto"/>
              <w:right w:val="single" w:sz="4" w:space="0" w:color="auto"/>
            </w:tcBorders>
            <w:hideMark/>
          </w:tcPr>
          <w:p w:rsidR="0013618F" w:rsidRPr="00CE7AE5" w:rsidRDefault="0013618F" w:rsidP="0033558D">
            <w:pPr>
              <w:keepNext/>
              <w:ind w:left="-108"/>
              <w:jc w:val="center"/>
              <w:outlineLvl w:val="2"/>
              <w:rPr>
                <w:rFonts w:eastAsia="Cambria"/>
                <w:b/>
                <w:sz w:val="22"/>
                <w:szCs w:val="22"/>
                <w:lang w:val="lt-LT"/>
              </w:rPr>
            </w:pPr>
            <w:r w:rsidRPr="00CE7AE5">
              <w:rPr>
                <w:b/>
                <w:sz w:val="22"/>
                <w:szCs w:val="22"/>
                <w:lang w:val="lt-LT"/>
              </w:rPr>
              <w:t>Reikalaujamos parametrų reikšmės</w:t>
            </w:r>
          </w:p>
        </w:tc>
        <w:tc>
          <w:tcPr>
            <w:tcW w:w="2977" w:type="dxa"/>
            <w:tcBorders>
              <w:top w:val="single" w:sz="4" w:space="0" w:color="auto"/>
              <w:left w:val="single" w:sz="4" w:space="0" w:color="auto"/>
              <w:bottom w:val="single" w:sz="4" w:space="0" w:color="auto"/>
              <w:right w:val="single" w:sz="4" w:space="0" w:color="auto"/>
            </w:tcBorders>
          </w:tcPr>
          <w:p w:rsidR="0013618F" w:rsidRPr="00CE7AE5" w:rsidRDefault="00CE7AE5" w:rsidP="0033558D">
            <w:pPr>
              <w:keepNext/>
              <w:ind w:left="-108"/>
              <w:jc w:val="center"/>
              <w:outlineLvl w:val="2"/>
              <w:rPr>
                <w:rFonts w:eastAsia="Cambria"/>
                <w:b/>
                <w:sz w:val="22"/>
                <w:szCs w:val="22"/>
                <w:lang w:val="lt-LT"/>
              </w:rPr>
            </w:pPr>
            <w:r w:rsidRPr="00CE7AE5">
              <w:rPr>
                <w:b/>
                <w:bCs/>
                <w:sz w:val="22"/>
                <w:szCs w:val="22"/>
                <w:lang w:val="lt-LT"/>
              </w:rPr>
              <w:t>Siūlomos įrangos parametrų reikšmės (parametrų atitikimas) ir nuorodos į atitinkamus gamintojo techninės dokumentacijos puslapius</w:t>
            </w: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3B080C" w:rsidRDefault="003B080C" w:rsidP="003B080C">
            <w:pPr>
              <w:shd w:val="clear" w:color="auto" w:fill="FFFFFF"/>
              <w:ind w:firstLine="38"/>
              <w:rPr>
                <w:rFonts w:eastAsia="Cambria"/>
                <w:b/>
                <w:sz w:val="22"/>
                <w:szCs w:val="22"/>
                <w:lang w:val="lt-LT"/>
              </w:rPr>
            </w:pPr>
            <w:r w:rsidRPr="003B080C">
              <w:rPr>
                <w:rFonts w:eastAsia="Cambria"/>
                <w:b/>
                <w:sz w:val="22"/>
                <w:szCs w:val="22"/>
                <w:lang w:val="lt-LT"/>
              </w:rPr>
              <w:t>I.</w:t>
            </w:r>
          </w:p>
        </w:tc>
        <w:tc>
          <w:tcPr>
            <w:tcW w:w="3261" w:type="dxa"/>
            <w:tcBorders>
              <w:top w:val="single" w:sz="4" w:space="0" w:color="auto"/>
              <w:left w:val="single" w:sz="4" w:space="0" w:color="auto"/>
              <w:bottom w:val="single" w:sz="4" w:space="0" w:color="auto"/>
              <w:right w:val="single" w:sz="4" w:space="0" w:color="auto"/>
            </w:tcBorders>
            <w:hideMark/>
          </w:tcPr>
          <w:p w:rsidR="00CE7AE5" w:rsidRPr="003B080C" w:rsidRDefault="00CE7AE5" w:rsidP="00CE7AE5">
            <w:pPr>
              <w:shd w:val="clear" w:color="auto" w:fill="FFFFFF"/>
              <w:rPr>
                <w:rFonts w:eastAsia="Calibri"/>
                <w:b/>
                <w:sz w:val="22"/>
                <w:szCs w:val="22"/>
                <w:lang w:val="lt-LT"/>
              </w:rPr>
            </w:pPr>
            <w:r w:rsidRPr="003B080C">
              <w:rPr>
                <w:rFonts w:eastAsia="Calibri"/>
                <w:b/>
                <w:sz w:val="22"/>
                <w:szCs w:val="22"/>
                <w:lang w:val="lt-LT"/>
              </w:rPr>
              <w:t>Ilgalaikės elektrokardiogramos analizavimo programinė įranga su duomenų saugojimu kompiuteryje</w:t>
            </w:r>
            <w:r w:rsidR="003B080C">
              <w:rPr>
                <w:rFonts w:eastAsia="Calibri"/>
                <w:b/>
                <w:sz w:val="22"/>
                <w:szCs w:val="22"/>
                <w:lang w:val="lt-LT"/>
              </w:rPr>
              <w:t xml:space="preserve"> *</w:t>
            </w:r>
          </w:p>
        </w:tc>
        <w:tc>
          <w:tcPr>
            <w:tcW w:w="3118" w:type="dxa"/>
            <w:tcBorders>
              <w:top w:val="single" w:sz="4" w:space="0" w:color="auto"/>
              <w:left w:val="single" w:sz="4" w:space="0" w:color="auto"/>
              <w:bottom w:val="single" w:sz="4" w:space="0" w:color="auto"/>
              <w:right w:val="single" w:sz="4" w:space="0" w:color="auto"/>
            </w:tcBorders>
            <w:hideMark/>
          </w:tcPr>
          <w:p w:rsidR="00CE7AE5" w:rsidRPr="00CE7AE5" w:rsidRDefault="00CE7AE5" w:rsidP="00CE7AE5">
            <w:pPr>
              <w:shd w:val="clear" w:color="auto" w:fill="FFFFFF"/>
              <w:rPr>
                <w:rFonts w:eastAsia="Calibri"/>
                <w:sz w:val="22"/>
                <w:szCs w:val="22"/>
                <w:lang w:val="lt-LT"/>
              </w:rPr>
            </w:pPr>
            <w:r w:rsidRPr="00CE7AE5">
              <w:rPr>
                <w:rFonts w:eastAsia="Calibri"/>
                <w:sz w:val="22"/>
                <w:szCs w:val="22"/>
                <w:lang w:val="lt-LT"/>
              </w:rPr>
              <w:t xml:space="preserve"> (Įrašyti gamintoją ir modelį)</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mbria"/>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mbria"/>
                <w:sz w:val="22"/>
                <w:szCs w:val="22"/>
                <w:lang w:val="lt-LT"/>
              </w:rPr>
            </w:pPr>
            <w:r w:rsidRPr="00C27A52">
              <w:rPr>
                <w:rFonts w:eastAsia="Cambria"/>
                <w:sz w:val="22"/>
                <w:szCs w:val="22"/>
                <w:lang w:val="lt-LT"/>
              </w:rPr>
              <w:t>Pasirenkamas analizuojamų derivacijų skaičius</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Būtina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xml:space="preserve">Keturiolikos ar daugiau parų pilna EKG analizė </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mbria"/>
                <w:sz w:val="22"/>
                <w:szCs w:val="22"/>
                <w:lang w:val="lt-LT"/>
              </w:rPr>
              <w:t xml:space="preserve">Generuojama viena ataskaita visam periodui </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mbria"/>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pStyle w:val="Sraas"/>
              <w:numPr>
                <w:ilvl w:val="0"/>
                <w:numId w:val="1"/>
              </w:numPr>
              <w:spacing w:after="0"/>
              <w:ind w:left="113" w:firstLine="0"/>
              <w:rPr>
                <w:rFonts w:cs="Times New Roman"/>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pStyle w:val="Sraas"/>
              <w:spacing w:after="0"/>
              <w:rPr>
                <w:rFonts w:cs="Times New Roman"/>
                <w:sz w:val="22"/>
                <w:szCs w:val="22"/>
                <w:lang w:val="lt-LT"/>
              </w:rPr>
            </w:pPr>
            <w:r w:rsidRPr="00C27A52">
              <w:rPr>
                <w:rFonts w:cs="Times New Roman"/>
                <w:sz w:val="22"/>
                <w:szCs w:val="22"/>
                <w:lang w:val="lt-LT"/>
              </w:rPr>
              <w:t>Analizės būdai</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sz w:val="22"/>
                <w:szCs w:val="22"/>
                <w:lang w:val="lt-LT"/>
              </w:rPr>
            </w:pPr>
            <w:r w:rsidRPr="00C27A52">
              <w:rPr>
                <w:sz w:val="22"/>
                <w:szCs w:val="22"/>
                <w:lang w:val="lt-LT"/>
              </w:rPr>
              <w:t>1. Pilna EKG išklotinė, peržiūra puslapiais</w:t>
            </w:r>
          </w:p>
          <w:p w:rsidR="00CE7AE5" w:rsidRPr="00C27A52" w:rsidRDefault="00CE7AE5" w:rsidP="00CE7AE5">
            <w:pPr>
              <w:rPr>
                <w:sz w:val="22"/>
                <w:szCs w:val="22"/>
                <w:lang w:val="lt-LT"/>
              </w:rPr>
            </w:pPr>
            <w:r w:rsidRPr="00C27A52">
              <w:rPr>
                <w:sz w:val="22"/>
                <w:szCs w:val="22"/>
                <w:lang w:val="lt-LT"/>
              </w:rPr>
              <w:t>2. Įvykių tendencijų grafinis vaizdavimas</w:t>
            </w:r>
          </w:p>
          <w:p w:rsidR="00CE7AE5" w:rsidRPr="00C27A52" w:rsidRDefault="00CE7AE5" w:rsidP="00CE7AE5">
            <w:pPr>
              <w:rPr>
                <w:rFonts w:eastAsia="Calibri"/>
                <w:sz w:val="22"/>
                <w:szCs w:val="22"/>
                <w:lang w:val="lt-LT"/>
              </w:rPr>
            </w:pPr>
            <w:r w:rsidRPr="00C27A52">
              <w:rPr>
                <w:sz w:val="22"/>
                <w:szCs w:val="22"/>
                <w:lang w:val="lt-LT"/>
              </w:rPr>
              <w:t xml:space="preserve">3. </w:t>
            </w:r>
            <w:proofErr w:type="spellStart"/>
            <w:r w:rsidRPr="00C27A52">
              <w:rPr>
                <w:rFonts w:eastAsia="Calibri"/>
                <w:sz w:val="22"/>
                <w:szCs w:val="22"/>
                <w:lang w:val="lt-LT"/>
              </w:rPr>
              <w:t>Superimpozicijos</w:t>
            </w:r>
            <w:proofErr w:type="spellEnd"/>
            <w:r w:rsidRPr="00C27A52">
              <w:rPr>
                <w:rFonts w:eastAsia="Calibri"/>
                <w:sz w:val="22"/>
                <w:szCs w:val="22"/>
                <w:lang w:val="lt-LT"/>
              </w:rPr>
              <w:t xml:space="preserve"> (kreivių persidengimo) režimas</w:t>
            </w:r>
            <w:r w:rsidRPr="00C27A52">
              <w:rPr>
                <w:sz w:val="22"/>
                <w:szCs w:val="22"/>
                <w:lang w:val="lt-LT"/>
              </w:rPr>
              <w:t xml:space="preserve"> </w:t>
            </w:r>
            <w:r w:rsidRPr="00C27A52">
              <w:rPr>
                <w:rFonts w:eastAsia="Calibri"/>
                <w:sz w:val="22"/>
                <w:szCs w:val="22"/>
                <w:lang w:val="lt-LT"/>
              </w:rPr>
              <w:t>EKG morfologijos pasikeitimo nustatymui</w:t>
            </w:r>
          </w:p>
          <w:p w:rsidR="00CE7AE5" w:rsidRPr="00C27A52" w:rsidRDefault="00CE7AE5" w:rsidP="00CE7AE5">
            <w:pPr>
              <w:rPr>
                <w:sz w:val="22"/>
                <w:szCs w:val="22"/>
                <w:lang w:val="lt-LT"/>
              </w:rPr>
            </w:pPr>
            <w:r w:rsidRPr="00C27A52">
              <w:rPr>
                <w:rFonts w:eastAsia="Calibri"/>
                <w:sz w:val="22"/>
                <w:szCs w:val="22"/>
                <w:lang w:val="lt-LT"/>
              </w:rPr>
              <w:t xml:space="preserve">4. </w:t>
            </w:r>
            <w:r w:rsidRPr="00C27A52">
              <w:rPr>
                <w:sz w:val="22"/>
                <w:szCs w:val="22"/>
                <w:lang w:val="lt-LT"/>
              </w:rPr>
              <w:t xml:space="preserve">Skirtingų EKG </w:t>
            </w:r>
            <w:proofErr w:type="spellStart"/>
            <w:r w:rsidRPr="00C27A52">
              <w:rPr>
                <w:sz w:val="22"/>
                <w:szCs w:val="22"/>
                <w:lang w:val="lt-LT"/>
              </w:rPr>
              <w:t>morfologijų</w:t>
            </w:r>
            <w:proofErr w:type="spellEnd"/>
            <w:r w:rsidRPr="00C27A52">
              <w:rPr>
                <w:sz w:val="22"/>
                <w:szCs w:val="22"/>
                <w:lang w:val="lt-LT"/>
              </w:rPr>
              <w:t xml:space="preserve"> klasifikavimas</w:t>
            </w:r>
          </w:p>
          <w:p w:rsidR="00CE7AE5" w:rsidRPr="00C27A52" w:rsidRDefault="00CE7AE5" w:rsidP="00CE7AE5">
            <w:pPr>
              <w:rPr>
                <w:sz w:val="22"/>
                <w:szCs w:val="22"/>
                <w:lang w:val="lt-LT"/>
              </w:rPr>
            </w:pPr>
            <w:r w:rsidRPr="00C27A52">
              <w:rPr>
                <w:sz w:val="22"/>
                <w:szCs w:val="22"/>
                <w:lang w:val="lt-LT"/>
              </w:rPr>
              <w:t xml:space="preserve">5. Didelės apimties EKG įvykių peržiūra vienu metu ekrane - </w:t>
            </w:r>
            <w:r>
              <w:rPr>
                <w:rFonts w:eastAsia="Calibri"/>
                <w:sz w:val="22"/>
                <w:szCs w:val="22"/>
                <w:lang w:val="lt-LT"/>
              </w:rPr>
              <w:t>≥ </w:t>
            </w:r>
            <w:r w:rsidRPr="00C27A52">
              <w:rPr>
                <w:rFonts w:eastAsia="Calibri"/>
                <w:sz w:val="22"/>
                <w:szCs w:val="22"/>
                <w:lang w:val="lt-LT"/>
              </w:rPr>
              <w:t>24 įvykiai</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napToGrid w:val="0"/>
              <w:ind w:left="113" w:firstLine="0"/>
              <w:rPr>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r w:rsidRPr="00C27A52">
              <w:rPr>
                <w:sz w:val="22"/>
                <w:szCs w:val="22"/>
                <w:lang w:val="lt-LT"/>
              </w:rPr>
              <w:t>Dviejų ekranų funkcija, leidžianti vienu metu stebėti EKG, grafikus ar lenteles skirtinguose monitoriuose</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r w:rsidRPr="00C27A52">
              <w:rPr>
                <w:sz w:val="22"/>
                <w:szCs w:val="22"/>
                <w:lang w:val="lt-LT"/>
              </w:rPr>
              <w:t>Būtina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pStyle w:val="Sraas"/>
              <w:numPr>
                <w:ilvl w:val="0"/>
                <w:numId w:val="1"/>
              </w:numPr>
              <w:autoSpaceDE w:val="0"/>
              <w:spacing w:after="0"/>
              <w:ind w:left="113" w:firstLine="0"/>
              <w:rPr>
                <w:rFonts w:eastAsia="Times New Roman" w:cs="Times New Roman"/>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pStyle w:val="Sraas"/>
              <w:autoSpaceDE w:val="0"/>
              <w:spacing w:after="0"/>
              <w:rPr>
                <w:rFonts w:eastAsia="Times New Roman" w:cs="Times New Roman"/>
                <w:sz w:val="22"/>
                <w:szCs w:val="22"/>
                <w:lang w:val="lt-LT"/>
              </w:rPr>
            </w:pPr>
            <w:r w:rsidRPr="00C27A52">
              <w:rPr>
                <w:rFonts w:eastAsia="Times New Roman" w:cs="Times New Roman"/>
                <w:sz w:val="22"/>
                <w:szCs w:val="22"/>
                <w:lang w:val="lt-LT"/>
              </w:rPr>
              <w:t xml:space="preserve">Galimybė matuoti </w:t>
            </w:r>
            <w:proofErr w:type="spellStart"/>
            <w:r w:rsidRPr="00C27A52">
              <w:rPr>
                <w:rFonts w:eastAsia="Times New Roman" w:cs="Times New Roman"/>
                <w:sz w:val="22"/>
                <w:szCs w:val="22"/>
                <w:lang w:val="lt-LT"/>
              </w:rPr>
              <w:t>atstumus</w:t>
            </w:r>
            <w:proofErr w:type="spellEnd"/>
            <w:r w:rsidRPr="00C27A52">
              <w:rPr>
                <w:rFonts w:eastAsia="Times New Roman" w:cs="Times New Roman"/>
                <w:sz w:val="22"/>
                <w:szCs w:val="22"/>
                <w:lang w:val="lt-LT"/>
              </w:rPr>
              <w:t xml:space="preserve"> tarp EKG kreivės taškų rankiniu būdu</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r w:rsidRPr="00C27A52">
              <w:rPr>
                <w:sz w:val="22"/>
                <w:szCs w:val="22"/>
                <w:lang w:val="lt-LT"/>
              </w:rPr>
              <w:t>Būtina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autoSpaceDE w:val="0"/>
              <w:ind w:left="113" w:firstLine="0"/>
              <w:rPr>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autoSpaceDE w:val="0"/>
              <w:rPr>
                <w:sz w:val="22"/>
                <w:szCs w:val="22"/>
                <w:lang w:val="lt-LT"/>
              </w:rPr>
            </w:pPr>
            <w:r w:rsidRPr="00C27A52">
              <w:rPr>
                <w:sz w:val="22"/>
                <w:szCs w:val="22"/>
                <w:lang w:val="lt-LT"/>
              </w:rPr>
              <w:t>Aritmijų analizė, analizės rezultatus pateikiant skaitine išraiška</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uppressAutoHyphens/>
              <w:rPr>
                <w:sz w:val="22"/>
                <w:szCs w:val="22"/>
                <w:lang w:val="lt-LT"/>
              </w:rPr>
            </w:pPr>
            <w:r w:rsidRPr="00C27A52">
              <w:rPr>
                <w:sz w:val="22"/>
                <w:szCs w:val="22"/>
                <w:lang w:val="lt-LT"/>
              </w:rPr>
              <w:t xml:space="preserve">1. </w:t>
            </w:r>
            <w:proofErr w:type="spellStart"/>
            <w:r w:rsidRPr="00C27A52">
              <w:rPr>
                <w:sz w:val="22"/>
                <w:szCs w:val="22"/>
                <w:lang w:val="lt-LT"/>
              </w:rPr>
              <w:t>Bradikardija</w:t>
            </w:r>
            <w:proofErr w:type="spellEnd"/>
            <w:r w:rsidRPr="00C27A52">
              <w:rPr>
                <w:sz w:val="22"/>
                <w:szCs w:val="22"/>
                <w:lang w:val="lt-LT"/>
              </w:rPr>
              <w:t xml:space="preserve"> (su vartotojo pasirenkamu skaitiniu atpažinimo kriterijumi)</w:t>
            </w:r>
          </w:p>
          <w:p w:rsidR="00CE7AE5" w:rsidRPr="00C27A52" w:rsidRDefault="00CE7AE5" w:rsidP="00CE7AE5">
            <w:pPr>
              <w:suppressAutoHyphens/>
              <w:rPr>
                <w:sz w:val="22"/>
                <w:szCs w:val="22"/>
                <w:lang w:val="lt-LT"/>
              </w:rPr>
            </w:pPr>
            <w:r w:rsidRPr="00C27A52">
              <w:rPr>
                <w:sz w:val="22"/>
                <w:szCs w:val="22"/>
                <w:lang w:val="lt-LT"/>
              </w:rPr>
              <w:t xml:space="preserve">2. </w:t>
            </w:r>
            <w:proofErr w:type="spellStart"/>
            <w:r w:rsidRPr="00C27A52">
              <w:rPr>
                <w:sz w:val="22"/>
                <w:szCs w:val="22"/>
                <w:lang w:val="lt-LT"/>
              </w:rPr>
              <w:t>Tachikardija</w:t>
            </w:r>
            <w:proofErr w:type="spellEnd"/>
            <w:r w:rsidRPr="00C27A52">
              <w:rPr>
                <w:sz w:val="22"/>
                <w:szCs w:val="22"/>
                <w:lang w:val="lt-LT"/>
              </w:rPr>
              <w:t xml:space="preserve"> (su vartotojo pasirenkamu skaitiniu atpažinimo kriterijumi)</w:t>
            </w:r>
          </w:p>
          <w:p w:rsidR="00CE7AE5" w:rsidRPr="00C27A52" w:rsidRDefault="00CE7AE5" w:rsidP="00CE7AE5">
            <w:pPr>
              <w:suppressAutoHyphens/>
              <w:rPr>
                <w:sz w:val="22"/>
                <w:szCs w:val="22"/>
                <w:lang w:val="lt-LT"/>
              </w:rPr>
            </w:pPr>
            <w:r w:rsidRPr="00C27A52">
              <w:rPr>
                <w:sz w:val="22"/>
                <w:szCs w:val="22"/>
                <w:lang w:val="lt-LT"/>
              </w:rPr>
              <w:t xml:space="preserve">3. </w:t>
            </w:r>
            <w:proofErr w:type="spellStart"/>
            <w:r w:rsidRPr="00C27A52">
              <w:rPr>
                <w:sz w:val="22"/>
                <w:szCs w:val="22"/>
                <w:lang w:val="lt-LT"/>
              </w:rPr>
              <w:t>Supraventrikulinė</w:t>
            </w:r>
            <w:proofErr w:type="spellEnd"/>
            <w:r w:rsidRPr="00C27A52">
              <w:rPr>
                <w:sz w:val="22"/>
                <w:szCs w:val="22"/>
                <w:lang w:val="lt-LT"/>
              </w:rPr>
              <w:t xml:space="preserve"> </w:t>
            </w:r>
            <w:proofErr w:type="spellStart"/>
            <w:r w:rsidRPr="00C27A52">
              <w:rPr>
                <w:sz w:val="22"/>
                <w:szCs w:val="22"/>
                <w:lang w:val="lt-LT"/>
              </w:rPr>
              <w:t>tachikardija</w:t>
            </w:r>
            <w:proofErr w:type="spellEnd"/>
          </w:p>
          <w:p w:rsidR="00CE7AE5" w:rsidRPr="00C27A52" w:rsidRDefault="00CE7AE5" w:rsidP="00CE7AE5">
            <w:pPr>
              <w:suppressAutoHyphens/>
              <w:rPr>
                <w:sz w:val="22"/>
                <w:szCs w:val="22"/>
                <w:lang w:val="lt-LT"/>
              </w:rPr>
            </w:pPr>
            <w:r w:rsidRPr="00C27A52">
              <w:rPr>
                <w:sz w:val="22"/>
                <w:szCs w:val="22"/>
                <w:lang w:val="lt-LT"/>
              </w:rPr>
              <w:t xml:space="preserve">4. </w:t>
            </w:r>
            <w:proofErr w:type="spellStart"/>
            <w:r w:rsidRPr="00C27A52">
              <w:rPr>
                <w:sz w:val="22"/>
                <w:szCs w:val="22"/>
                <w:lang w:val="lt-LT"/>
              </w:rPr>
              <w:t>Skilvelinė</w:t>
            </w:r>
            <w:proofErr w:type="spellEnd"/>
            <w:r w:rsidRPr="00C27A52">
              <w:rPr>
                <w:sz w:val="22"/>
                <w:szCs w:val="22"/>
                <w:lang w:val="lt-LT"/>
              </w:rPr>
              <w:t xml:space="preserve"> </w:t>
            </w:r>
            <w:proofErr w:type="spellStart"/>
            <w:r w:rsidRPr="00C27A52">
              <w:rPr>
                <w:sz w:val="22"/>
                <w:szCs w:val="22"/>
                <w:lang w:val="lt-LT"/>
              </w:rPr>
              <w:t>tachikardija</w:t>
            </w:r>
            <w:proofErr w:type="spellEnd"/>
            <w:r w:rsidRPr="00C27A52">
              <w:rPr>
                <w:sz w:val="22"/>
                <w:szCs w:val="22"/>
                <w:lang w:val="lt-LT"/>
              </w:rPr>
              <w:t>;</w:t>
            </w:r>
          </w:p>
          <w:p w:rsidR="00CE7AE5" w:rsidRPr="00C27A52" w:rsidRDefault="00CE7AE5" w:rsidP="00CE7AE5">
            <w:pPr>
              <w:suppressAutoHyphens/>
              <w:rPr>
                <w:sz w:val="22"/>
                <w:szCs w:val="22"/>
                <w:lang w:val="lt-LT"/>
              </w:rPr>
            </w:pPr>
            <w:r w:rsidRPr="00C27A52">
              <w:rPr>
                <w:sz w:val="22"/>
                <w:szCs w:val="22"/>
                <w:lang w:val="lt-LT"/>
              </w:rPr>
              <w:t xml:space="preserve">5. </w:t>
            </w:r>
            <w:proofErr w:type="spellStart"/>
            <w:r w:rsidRPr="00C27A52">
              <w:rPr>
                <w:sz w:val="22"/>
                <w:szCs w:val="22"/>
                <w:lang w:val="lt-LT"/>
              </w:rPr>
              <w:t>Tripletai</w:t>
            </w:r>
            <w:proofErr w:type="spellEnd"/>
          </w:p>
          <w:p w:rsidR="00CE7AE5" w:rsidRPr="00C27A52" w:rsidRDefault="00CE7AE5" w:rsidP="00CE7AE5">
            <w:pPr>
              <w:suppressAutoHyphens/>
              <w:rPr>
                <w:sz w:val="22"/>
                <w:szCs w:val="22"/>
                <w:lang w:val="lt-LT"/>
              </w:rPr>
            </w:pPr>
            <w:r w:rsidRPr="00C27A52">
              <w:rPr>
                <w:sz w:val="22"/>
                <w:szCs w:val="22"/>
                <w:lang w:val="lt-LT"/>
              </w:rPr>
              <w:t>6. Kupletai</w:t>
            </w:r>
          </w:p>
          <w:p w:rsidR="00CE7AE5" w:rsidRPr="00C27A52" w:rsidRDefault="00CE7AE5" w:rsidP="00CE7AE5">
            <w:pPr>
              <w:suppressAutoHyphens/>
              <w:rPr>
                <w:sz w:val="22"/>
                <w:szCs w:val="22"/>
                <w:lang w:val="lt-LT"/>
              </w:rPr>
            </w:pPr>
            <w:r w:rsidRPr="00C27A52">
              <w:rPr>
                <w:sz w:val="22"/>
                <w:szCs w:val="22"/>
                <w:lang w:val="lt-LT"/>
              </w:rPr>
              <w:t xml:space="preserve">7. </w:t>
            </w:r>
            <w:proofErr w:type="spellStart"/>
            <w:r w:rsidRPr="00C27A52">
              <w:rPr>
                <w:sz w:val="22"/>
                <w:szCs w:val="22"/>
                <w:lang w:val="lt-LT"/>
              </w:rPr>
              <w:t>Bigeminija</w:t>
            </w:r>
            <w:proofErr w:type="spellEnd"/>
            <w:r w:rsidRPr="00C27A52">
              <w:rPr>
                <w:sz w:val="22"/>
                <w:szCs w:val="22"/>
                <w:lang w:val="lt-LT"/>
              </w:rPr>
              <w:t xml:space="preserve">; </w:t>
            </w:r>
          </w:p>
          <w:p w:rsidR="00CE7AE5" w:rsidRPr="00C27A52" w:rsidRDefault="00CE7AE5" w:rsidP="00CE7AE5">
            <w:pPr>
              <w:suppressAutoHyphens/>
              <w:rPr>
                <w:sz w:val="22"/>
                <w:szCs w:val="22"/>
                <w:lang w:val="lt-LT"/>
              </w:rPr>
            </w:pPr>
            <w:r w:rsidRPr="00C27A52">
              <w:rPr>
                <w:sz w:val="22"/>
                <w:szCs w:val="22"/>
                <w:lang w:val="lt-LT"/>
              </w:rPr>
              <w:t xml:space="preserve">8. </w:t>
            </w:r>
            <w:proofErr w:type="spellStart"/>
            <w:r w:rsidRPr="00C27A52">
              <w:rPr>
                <w:sz w:val="22"/>
                <w:szCs w:val="22"/>
                <w:lang w:val="lt-LT"/>
              </w:rPr>
              <w:t>Trigeminija</w:t>
            </w:r>
            <w:proofErr w:type="spellEnd"/>
            <w:r w:rsidRPr="00C27A52">
              <w:rPr>
                <w:sz w:val="22"/>
                <w:szCs w:val="22"/>
                <w:lang w:val="lt-LT"/>
              </w:rPr>
              <w:t>;</w:t>
            </w:r>
          </w:p>
          <w:p w:rsidR="00CE7AE5" w:rsidRPr="00C27A52" w:rsidRDefault="00CE7AE5" w:rsidP="00CE7AE5">
            <w:pPr>
              <w:suppressAutoHyphens/>
              <w:rPr>
                <w:sz w:val="22"/>
                <w:szCs w:val="22"/>
                <w:lang w:val="lt-LT"/>
              </w:rPr>
            </w:pPr>
            <w:r w:rsidRPr="00C27A52">
              <w:rPr>
                <w:sz w:val="22"/>
                <w:szCs w:val="22"/>
                <w:lang w:val="lt-LT"/>
              </w:rPr>
              <w:t>9. Prieširdžių virpėjimas;</w:t>
            </w:r>
          </w:p>
          <w:p w:rsidR="00CE7AE5" w:rsidRPr="00C27A52" w:rsidRDefault="00CE7AE5" w:rsidP="00CE7AE5">
            <w:pPr>
              <w:suppressAutoHyphens/>
              <w:rPr>
                <w:sz w:val="22"/>
                <w:szCs w:val="22"/>
                <w:lang w:val="lt-LT"/>
              </w:rPr>
            </w:pPr>
            <w:r w:rsidRPr="00C27A52">
              <w:rPr>
                <w:sz w:val="22"/>
                <w:szCs w:val="22"/>
                <w:lang w:val="lt-LT"/>
              </w:rPr>
              <w:t>10. Pauzė (su vartotojo pasirenkamu skaitiniu atpažinimo kriterijumi)</w:t>
            </w:r>
          </w:p>
          <w:p w:rsidR="00CE7AE5" w:rsidRPr="00C27A52" w:rsidRDefault="00CE7AE5" w:rsidP="00CE7AE5">
            <w:pPr>
              <w:suppressAutoHyphens/>
              <w:rPr>
                <w:sz w:val="22"/>
                <w:szCs w:val="22"/>
                <w:lang w:val="lt-LT"/>
              </w:rPr>
            </w:pPr>
            <w:r w:rsidRPr="00C27A52">
              <w:rPr>
                <w:sz w:val="22"/>
                <w:szCs w:val="22"/>
                <w:lang w:val="lt-LT"/>
              </w:rPr>
              <w:lastRenderedPageBreak/>
              <w:t>11. Iškritęs kompleksas</w:t>
            </w:r>
          </w:p>
          <w:p w:rsidR="00CE7AE5" w:rsidRPr="00C27A52" w:rsidRDefault="00CE7AE5" w:rsidP="00CE7AE5">
            <w:pPr>
              <w:suppressAutoHyphens/>
              <w:rPr>
                <w:sz w:val="22"/>
                <w:szCs w:val="22"/>
                <w:lang w:val="lt-LT"/>
              </w:rPr>
            </w:pPr>
            <w:r w:rsidRPr="00C27A52">
              <w:rPr>
                <w:sz w:val="22"/>
                <w:szCs w:val="22"/>
                <w:lang w:val="lt-LT"/>
              </w:rPr>
              <w:t>12. Paciento įvykių sąrašas, su įrašais iš išmanaus įrenginio</w:t>
            </w:r>
          </w:p>
          <w:p w:rsidR="00CE7AE5" w:rsidRPr="00C27A52" w:rsidRDefault="00CE7AE5" w:rsidP="00CE7AE5">
            <w:pPr>
              <w:suppressAutoHyphens/>
              <w:rPr>
                <w:sz w:val="22"/>
                <w:szCs w:val="22"/>
                <w:lang w:val="lt-LT"/>
              </w:rPr>
            </w:pPr>
            <w:r w:rsidRPr="00C27A52">
              <w:rPr>
                <w:sz w:val="22"/>
                <w:szCs w:val="22"/>
                <w:lang w:val="lt-LT"/>
              </w:rPr>
              <w:t>13. Paciento aktyvumo grafikai.</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uppressAutoHyphens/>
              <w:rPr>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sz w:val="22"/>
                <w:szCs w:val="22"/>
                <w:lang w:val="lt-LT"/>
              </w:rPr>
            </w:pPr>
            <w:r w:rsidRPr="00C27A52">
              <w:rPr>
                <w:sz w:val="22"/>
                <w:szCs w:val="22"/>
                <w:lang w:val="lt-LT"/>
              </w:rPr>
              <w:t>Su vartotojo nurodytais (pažymėtais) įvykiais susijusių EKG kreivių atkarpų išsaugojimas  ataskaitoje</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r w:rsidRPr="00C27A52">
              <w:rPr>
                <w:sz w:val="22"/>
                <w:szCs w:val="22"/>
                <w:lang w:val="lt-LT"/>
              </w:rPr>
              <w:t>Būtina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napToGrid w:val="0"/>
              <w:rPr>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sz w:val="22"/>
                <w:szCs w:val="22"/>
                <w:lang w:val="lt-LT"/>
              </w:rPr>
            </w:pPr>
            <w:r w:rsidRPr="00C27A52">
              <w:rPr>
                <w:sz w:val="22"/>
                <w:szCs w:val="22"/>
                <w:lang w:val="lt-LT"/>
              </w:rPr>
              <w:t>QT analizė</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sz w:val="22"/>
                <w:szCs w:val="22"/>
                <w:lang w:val="lt-LT"/>
              </w:rPr>
            </w:pPr>
            <w:r w:rsidRPr="00C27A52">
              <w:rPr>
                <w:sz w:val="22"/>
                <w:szCs w:val="22"/>
                <w:lang w:val="lt-LT"/>
              </w:rPr>
              <w:t xml:space="preserve">QT analizavimo programa su QT, </w:t>
            </w:r>
            <w:proofErr w:type="spellStart"/>
            <w:r w:rsidRPr="00C27A52">
              <w:rPr>
                <w:sz w:val="22"/>
                <w:szCs w:val="22"/>
                <w:lang w:val="lt-LT"/>
              </w:rPr>
              <w:t>QTc</w:t>
            </w:r>
            <w:proofErr w:type="spellEnd"/>
            <w:r w:rsidRPr="00C27A52">
              <w:rPr>
                <w:sz w:val="22"/>
                <w:szCs w:val="22"/>
                <w:lang w:val="lt-LT"/>
              </w:rPr>
              <w:t xml:space="preserve"> </w:t>
            </w:r>
            <w:proofErr w:type="spellStart"/>
            <w:r w:rsidRPr="00C27A52">
              <w:rPr>
                <w:sz w:val="22"/>
                <w:szCs w:val="22"/>
                <w:lang w:val="lt-LT"/>
              </w:rPr>
              <w:t>matavimais</w:t>
            </w:r>
            <w:proofErr w:type="spellEnd"/>
            <w:r w:rsidRPr="00C27A52">
              <w:rPr>
                <w:sz w:val="22"/>
                <w:szCs w:val="22"/>
                <w:lang w:val="lt-LT"/>
              </w:rPr>
              <w:t>, QT matavimo markerių nustatymu.</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Duomenų bazės programos funkcijos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xml:space="preserve">Galimybė nuskaityti, priimti ir saugoti ramybės, krūvio, </w:t>
            </w:r>
            <w:proofErr w:type="spellStart"/>
            <w:r w:rsidRPr="00C27A52">
              <w:rPr>
                <w:rFonts w:eastAsia="Calibri"/>
                <w:sz w:val="22"/>
                <w:szCs w:val="22"/>
                <w:lang w:val="lt-LT"/>
              </w:rPr>
              <w:t>Holterio</w:t>
            </w:r>
            <w:proofErr w:type="spellEnd"/>
            <w:r w:rsidRPr="00C27A52">
              <w:rPr>
                <w:rFonts w:eastAsia="Calibri"/>
                <w:sz w:val="22"/>
                <w:szCs w:val="22"/>
                <w:lang w:val="lt-LT"/>
              </w:rPr>
              <w:t xml:space="preserve"> EKG, paros arterinio kraujospūdžio </w:t>
            </w:r>
            <w:proofErr w:type="spellStart"/>
            <w:r w:rsidRPr="00C27A52">
              <w:rPr>
                <w:rFonts w:eastAsia="Calibri"/>
                <w:sz w:val="22"/>
                <w:szCs w:val="22"/>
                <w:lang w:val="lt-LT"/>
              </w:rPr>
              <w:t>monitoravimo</w:t>
            </w:r>
            <w:proofErr w:type="spellEnd"/>
            <w:r w:rsidRPr="00C27A52">
              <w:rPr>
                <w:rFonts w:eastAsia="Calibri"/>
                <w:sz w:val="22"/>
                <w:szCs w:val="22"/>
                <w:lang w:val="lt-LT"/>
              </w:rPr>
              <w:t xml:space="preserve"> duomenis</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jc w:val="center"/>
              <w:rPr>
                <w:rFonts w:eastAsia="Calibri"/>
                <w:b/>
                <w:sz w:val="22"/>
                <w:szCs w:val="22"/>
                <w:lang w:val="lt-LT"/>
              </w:rPr>
            </w:pPr>
            <w:r w:rsidRPr="00C27A52">
              <w:rPr>
                <w:rFonts w:eastAsia="Calibri"/>
                <w:b/>
                <w:sz w:val="22"/>
                <w:szCs w:val="22"/>
                <w:lang w:val="lt-LT"/>
              </w:rPr>
              <w:t>II.</w:t>
            </w: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b/>
                <w:sz w:val="22"/>
                <w:szCs w:val="22"/>
                <w:lang w:val="lt-LT"/>
              </w:rPr>
            </w:pPr>
            <w:r w:rsidRPr="00C27A52">
              <w:rPr>
                <w:rFonts w:eastAsia="Calibri"/>
                <w:b/>
                <w:sz w:val="22"/>
                <w:szCs w:val="22"/>
                <w:lang w:val="lt-LT"/>
              </w:rPr>
              <w:t>Ilgalaikės elektrokardiogramos įrašymo įrenginys</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b/>
                <w:sz w:val="22"/>
                <w:szCs w:val="22"/>
                <w:lang w:val="lt-LT"/>
              </w:rPr>
            </w:pP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b/>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xml:space="preserve">Integruotas spalvotas skystųjų kristalų ekranas </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Vienu metu matomos ≥ 3 EKG kreivės, kokybės nustatymui. Ekrano dydis ≥ (20x20 mm)</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r w:rsidRPr="00C27A52">
              <w:rPr>
                <w:rFonts w:eastAsia="Calibri"/>
                <w:sz w:val="22"/>
                <w:szCs w:val="22"/>
                <w:lang w:val="lt-LT"/>
              </w:rPr>
              <w:t>Ekrano vaizdas ir funkcijos</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r w:rsidRPr="00C27A52">
              <w:rPr>
                <w:rFonts w:eastAsia="Calibri"/>
                <w:sz w:val="22"/>
                <w:szCs w:val="22"/>
                <w:lang w:val="lt-LT"/>
              </w:rPr>
              <w:t>Ekrane matomas, laikas, data, kalendorius, baterijos likęs laikas.</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xml:space="preserve">Pacientui pritvirtinamų elektrodų skaičius registruojant tris EKG </w:t>
            </w:r>
            <w:proofErr w:type="spellStart"/>
            <w:r w:rsidRPr="00C27A52">
              <w:rPr>
                <w:rFonts w:eastAsia="Calibri"/>
                <w:sz w:val="22"/>
                <w:szCs w:val="22"/>
                <w:lang w:val="lt-LT"/>
              </w:rPr>
              <w:t>derivacijas</w:t>
            </w:r>
            <w:proofErr w:type="spellEnd"/>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3B080C" w:rsidP="00CE7AE5">
            <w:pPr>
              <w:shd w:val="clear" w:color="auto" w:fill="FFFFFF"/>
              <w:rPr>
                <w:rFonts w:eastAsia="Cambria"/>
                <w:sz w:val="22"/>
                <w:szCs w:val="22"/>
                <w:lang w:val="lt-LT"/>
              </w:rPr>
            </w:pPr>
            <w:r w:rsidRPr="00C27A52">
              <w:rPr>
                <w:rFonts w:eastAsia="Calibri"/>
                <w:sz w:val="22"/>
                <w:szCs w:val="22"/>
                <w:lang w:val="lt-LT"/>
              </w:rPr>
              <w:t>≤</w:t>
            </w:r>
            <w:r>
              <w:rPr>
                <w:rFonts w:eastAsia="Calibri"/>
                <w:sz w:val="22"/>
                <w:szCs w:val="22"/>
                <w:lang w:val="lt-LT"/>
              </w:rPr>
              <w:t xml:space="preserve"> </w:t>
            </w:r>
            <w:r w:rsidR="00CE7AE5" w:rsidRPr="00C27A52">
              <w:rPr>
                <w:rFonts w:eastAsia="Calibri"/>
                <w:sz w:val="22"/>
                <w:szCs w:val="22"/>
                <w:lang w:val="lt-LT"/>
              </w:rPr>
              <w:t>3</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Įrašo trukmė naudojant standartinį maitinimo šaltinį, ne mažiau</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14 parų nepertraukiamas EKG įrašas</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xml:space="preserve">Galimybė registruoti 12 EKG derivacijų </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 xml:space="preserve">Būtina </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proofErr w:type="spellStart"/>
            <w:r w:rsidRPr="00C27A52">
              <w:rPr>
                <w:rFonts w:eastAsia="Calibri"/>
                <w:sz w:val="22"/>
                <w:szCs w:val="22"/>
                <w:lang w:val="lt-LT"/>
              </w:rPr>
              <w:t>Kardiostimuliatoriaus</w:t>
            </w:r>
            <w:proofErr w:type="spellEnd"/>
            <w:r w:rsidRPr="00C27A52">
              <w:rPr>
                <w:rFonts w:eastAsia="Calibri"/>
                <w:sz w:val="22"/>
                <w:szCs w:val="22"/>
                <w:lang w:val="lt-LT"/>
              </w:rPr>
              <w:t xml:space="preserve"> impulsų registravimas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Būtina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mbria"/>
                <w:sz w:val="22"/>
                <w:szCs w:val="22"/>
                <w:lang w:val="lt-LT"/>
              </w:rPr>
            </w:pPr>
            <w:r w:rsidRPr="00C27A52">
              <w:rPr>
                <w:rFonts w:eastAsia="Calibri"/>
                <w:sz w:val="22"/>
                <w:szCs w:val="22"/>
                <w:lang w:val="lt-LT"/>
              </w:rPr>
              <w:t>EKG įrašymas į vidinę atmintį</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mbria"/>
                <w:sz w:val="22"/>
                <w:szCs w:val="22"/>
                <w:lang w:val="lt-LT"/>
              </w:rPr>
            </w:pPr>
            <w:r w:rsidRPr="00C27A52">
              <w:rPr>
                <w:rFonts w:eastAsia="Calibri"/>
                <w:sz w:val="22"/>
                <w:szCs w:val="22"/>
                <w:lang w:val="lt-LT"/>
              </w:rPr>
              <w:t xml:space="preserve">≥ 16 </w:t>
            </w:r>
            <w:proofErr w:type="spellStart"/>
            <w:r w:rsidRPr="00C27A52">
              <w:rPr>
                <w:rFonts w:eastAsia="Calibri"/>
                <w:sz w:val="22"/>
                <w:szCs w:val="22"/>
                <w:lang w:val="lt-LT"/>
              </w:rPr>
              <w:t>Gb</w:t>
            </w:r>
            <w:proofErr w:type="spellEnd"/>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r w:rsidRPr="00C27A52">
              <w:rPr>
                <w:rFonts w:eastAsia="Calibri"/>
                <w:sz w:val="22"/>
                <w:szCs w:val="22"/>
                <w:lang w:val="lt-LT"/>
              </w:rPr>
              <w:t xml:space="preserve">Kalibracija </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r w:rsidRPr="00C27A52">
              <w:rPr>
                <w:rFonts w:eastAsia="Calibri"/>
                <w:sz w:val="22"/>
                <w:szCs w:val="22"/>
                <w:lang w:val="lt-LT"/>
              </w:rPr>
              <w:t>Nereikalinga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shd w:val="clear" w:color="auto" w:fill="FFFFFF"/>
              <w:rPr>
                <w:rFonts w:eastAsia="Cambria"/>
                <w:sz w:val="22"/>
                <w:szCs w:val="22"/>
                <w:lang w:val="lt-LT"/>
              </w:rPr>
            </w:pPr>
            <w:r w:rsidRPr="00C27A52">
              <w:rPr>
                <w:rFonts w:eastAsia="Calibri"/>
                <w:sz w:val="22"/>
                <w:szCs w:val="22"/>
                <w:lang w:val="lt-LT"/>
              </w:rPr>
              <w:t>Dažnio diapazonas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0E2425">
            <w:pPr>
              <w:shd w:val="clear" w:color="auto" w:fill="FFFFFF"/>
              <w:rPr>
                <w:rFonts w:eastAsia="Cambria"/>
                <w:sz w:val="22"/>
                <w:szCs w:val="22"/>
                <w:lang w:val="lt-LT"/>
              </w:rPr>
            </w:pPr>
            <w:r w:rsidRPr="00C27A52">
              <w:rPr>
                <w:rFonts w:eastAsia="Calibri"/>
                <w:sz w:val="22"/>
                <w:szCs w:val="22"/>
                <w:lang w:val="lt-LT"/>
              </w:rPr>
              <w:t>≥ (0,05 – 40) Hz trijų elektrodų kabeliui ir ≥ (0,05 – 160) Hz 12</w:t>
            </w:r>
            <w:r w:rsidR="000E2425">
              <w:rPr>
                <w:rFonts w:eastAsia="Calibri"/>
                <w:sz w:val="22"/>
                <w:szCs w:val="22"/>
                <w:lang w:val="lt-LT"/>
              </w:rPr>
              <w:t> </w:t>
            </w:r>
            <w:r w:rsidRPr="00C27A52">
              <w:rPr>
                <w:rFonts w:eastAsia="Calibri"/>
                <w:sz w:val="22"/>
                <w:szCs w:val="22"/>
                <w:lang w:val="lt-LT"/>
              </w:rPr>
              <w:t>-</w:t>
            </w:r>
            <w:r w:rsidR="000E2425">
              <w:rPr>
                <w:rFonts w:eastAsia="Calibri"/>
                <w:sz w:val="22"/>
                <w:szCs w:val="22"/>
                <w:lang w:val="lt-LT"/>
              </w:rPr>
              <w:t> </w:t>
            </w:r>
            <w:r w:rsidRPr="00C27A52">
              <w:rPr>
                <w:rFonts w:eastAsia="Calibri"/>
                <w:sz w:val="22"/>
                <w:szCs w:val="22"/>
                <w:lang w:val="lt-LT"/>
              </w:rPr>
              <w:t>elektrodų kabeliui</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r w:rsidRPr="00C27A52">
              <w:rPr>
                <w:rFonts w:eastAsia="Calibri"/>
                <w:sz w:val="22"/>
                <w:szCs w:val="22"/>
                <w:lang w:val="lt-LT"/>
              </w:rPr>
              <w:t>Amplitudės skiriamoji geba</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r w:rsidRPr="00C27A52">
              <w:rPr>
                <w:rFonts w:eastAsia="Calibri"/>
                <w:sz w:val="22"/>
                <w:szCs w:val="22"/>
                <w:lang w:val="lt-LT"/>
              </w:rPr>
              <w:t>≤ 2,5 µV</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shd w:val="clear" w:color="auto" w:fill="FFFFFF"/>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mbria"/>
                <w:sz w:val="22"/>
                <w:szCs w:val="22"/>
                <w:lang w:val="lt-LT"/>
              </w:rPr>
            </w:pPr>
            <w:r w:rsidRPr="00C27A52">
              <w:rPr>
                <w:rFonts w:eastAsia="Calibri"/>
                <w:sz w:val="22"/>
                <w:szCs w:val="22"/>
                <w:lang w:val="lt-LT"/>
              </w:rPr>
              <w:t>Įmontuotas įvykių registracijos klavišas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tabs>
                <w:tab w:val="left" w:pos="1050"/>
                <w:tab w:val="center" w:pos="1788"/>
              </w:tabs>
              <w:rPr>
                <w:rFonts w:eastAsia="Cambria"/>
                <w:sz w:val="22"/>
                <w:szCs w:val="22"/>
                <w:lang w:val="lt-LT"/>
              </w:rPr>
            </w:pPr>
            <w:r w:rsidRPr="00C27A52">
              <w:rPr>
                <w:rFonts w:eastAsia="Calibri"/>
                <w:sz w:val="22"/>
                <w:szCs w:val="22"/>
                <w:lang w:val="lt-LT"/>
              </w:rPr>
              <w:t>Specifinių laiko momentų registracijai</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tabs>
                <w:tab w:val="left" w:pos="1050"/>
                <w:tab w:val="center" w:pos="1788"/>
              </w:tabs>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mbria"/>
                <w:sz w:val="22"/>
                <w:szCs w:val="22"/>
                <w:lang w:val="lt-LT"/>
              </w:rPr>
            </w:pPr>
            <w:proofErr w:type="spellStart"/>
            <w:r w:rsidRPr="00C27A52">
              <w:rPr>
                <w:rFonts w:eastAsia="Calibri"/>
                <w:sz w:val="22"/>
                <w:szCs w:val="22"/>
                <w:lang w:val="lt-LT"/>
              </w:rPr>
              <w:t>Diskretizavimo</w:t>
            </w:r>
            <w:proofErr w:type="spellEnd"/>
            <w:r w:rsidRPr="00C27A52">
              <w:rPr>
                <w:rFonts w:eastAsia="Calibri"/>
                <w:sz w:val="22"/>
                <w:szCs w:val="22"/>
                <w:lang w:val="lt-LT"/>
              </w:rPr>
              <w:t xml:space="preserve"> dažnis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mbria"/>
                <w:sz w:val="22"/>
                <w:szCs w:val="22"/>
                <w:lang w:val="lt-LT"/>
              </w:rPr>
            </w:pPr>
            <w:r w:rsidRPr="00C27A52">
              <w:rPr>
                <w:rFonts w:eastAsia="Calibri"/>
                <w:sz w:val="22"/>
                <w:szCs w:val="22"/>
                <w:lang w:val="lt-LT"/>
              </w:rPr>
              <w:t>≥ 8000 Hz</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 xml:space="preserve">Įėjimo varža </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 10 M</w:t>
            </w:r>
            <w:r w:rsidRPr="00C27A52">
              <w:rPr>
                <w:rFonts w:eastAsia="Calibri"/>
                <w:sz w:val="22"/>
                <w:szCs w:val="22"/>
                <w:lang w:val="lt-LT"/>
              </w:rPr>
              <w:sym w:font="Symbol" w:char="F057"/>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r w:rsidRPr="00C27A52">
              <w:rPr>
                <w:rFonts w:eastAsia="Calibri"/>
                <w:sz w:val="22"/>
                <w:szCs w:val="22"/>
                <w:lang w:val="lt-LT"/>
              </w:rPr>
              <w:t xml:space="preserve">Paciento aktyvumo </w:t>
            </w:r>
            <w:proofErr w:type="spellStart"/>
            <w:r w:rsidRPr="00C27A52">
              <w:rPr>
                <w:rFonts w:eastAsia="Calibri"/>
                <w:sz w:val="22"/>
                <w:szCs w:val="22"/>
                <w:lang w:val="lt-LT"/>
              </w:rPr>
              <w:t>detekcija</w:t>
            </w:r>
            <w:proofErr w:type="spellEnd"/>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r w:rsidRPr="00C27A52">
              <w:rPr>
                <w:rFonts w:eastAsia="Calibri"/>
                <w:sz w:val="22"/>
                <w:szCs w:val="22"/>
                <w:lang w:val="lt-LT"/>
              </w:rPr>
              <w:t>Integruotas akselerometras</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r w:rsidRPr="00C27A52">
              <w:rPr>
                <w:rFonts w:eastAsia="Calibri"/>
                <w:sz w:val="22"/>
                <w:szCs w:val="22"/>
                <w:lang w:val="lt-LT"/>
              </w:rPr>
              <w:t>Bevielė sąsaja su išoriniu išmaniu įrenginiu</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r w:rsidRPr="00C27A52">
              <w:rPr>
                <w:rFonts w:eastAsia="Calibri"/>
                <w:sz w:val="22"/>
                <w:szCs w:val="22"/>
                <w:lang w:val="lt-LT"/>
              </w:rPr>
              <w:t>Išmanaus telefono programėlė skirta chronologiškai registruoti paciento įvykius ir nusiskundimus</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Svoris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 40g su baterija ir vidine atmintimi</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Atsparumas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Atsparus vandeniui. IP67 klasė, ne blogiau. Atsparus nukritimui ant žemės iš ≥ 1 m. aukščio.</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Komplektacija</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3B080C">
            <w:pPr>
              <w:rPr>
                <w:rFonts w:eastAsia="Calibri"/>
                <w:sz w:val="22"/>
                <w:szCs w:val="22"/>
                <w:lang w:val="lt-LT"/>
              </w:rPr>
            </w:pPr>
            <w:r w:rsidRPr="00C27A52">
              <w:rPr>
                <w:rFonts w:eastAsia="Calibri"/>
                <w:sz w:val="22"/>
                <w:szCs w:val="22"/>
                <w:lang w:val="lt-LT"/>
              </w:rPr>
              <w:t>Sistema su analizavimo programa, įrašymo įrenginiai  2</w:t>
            </w:r>
            <w:r w:rsidR="003B080C">
              <w:rPr>
                <w:rFonts w:eastAsia="Calibri"/>
                <w:sz w:val="22"/>
                <w:szCs w:val="22"/>
                <w:lang w:val="lt-LT"/>
              </w:rPr>
              <w:t> </w:t>
            </w:r>
            <w:r w:rsidRPr="00C27A52">
              <w:rPr>
                <w:rFonts w:eastAsia="Calibri"/>
                <w:sz w:val="22"/>
                <w:szCs w:val="22"/>
                <w:lang w:val="lt-LT"/>
              </w:rPr>
              <w:t>vn</w:t>
            </w:r>
            <w:r w:rsidR="003B080C">
              <w:rPr>
                <w:rFonts w:eastAsia="Calibri"/>
                <w:sz w:val="22"/>
                <w:szCs w:val="22"/>
                <w:lang w:val="lt-LT"/>
              </w:rPr>
              <w:t>t., elektrodų kabeliai skirti 3 kanalų EKG registracijai  po 2 </w:t>
            </w:r>
            <w:r w:rsidRPr="00C27A52">
              <w:rPr>
                <w:rFonts w:eastAsia="Calibri"/>
                <w:sz w:val="22"/>
                <w:szCs w:val="22"/>
                <w:lang w:val="lt-LT"/>
              </w:rPr>
              <w:t>vnt.-  ilgi ir vidutinio ilgio, prisegamas diržo laikiklis, vienkartiniai laikikliai ant kaklo su dirželiu ≥ 200 vnt.</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shd w:val="clear" w:color="auto" w:fill="FFFFFF"/>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Garantinis laikotarpis</w:t>
            </w:r>
          </w:p>
        </w:tc>
        <w:tc>
          <w:tcPr>
            <w:tcW w:w="3118" w:type="dxa"/>
            <w:tcBorders>
              <w:top w:val="single" w:sz="4" w:space="0" w:color="auto"/>
              <w:left w:val="single" w:sz="4" w:space="0" w:color="auto"/>
              <w:bottom w:val="single" w:sz="4" w:space="0" w:color="auto"/>
              <w:right w:val="single" w:sz="4" w:space="0" w:color="auto"/>
            </w:tcBorders>
            <w:hideMark/>
          </w:tcPr>
          <w:p w:rsidR="00CE7AE5" w:rsidRPr="00C27A52" w:rsidRDefault="00CE7AE5" w:rsidP="00CE7AE5">
            <w:pPr>
              <w:rPr>
                <w:rFonts w:eastAsia="Calibri"/>
                <w:sz w:val="22"/>
                <w:szCs w:val="22"/>
                <w:lang w:val="lt-LT"/>
              </w:rPr>
            </w:pPr>
            <w:r w:rsidRPr="00C27A52">
              <w:rPr>
                <w:rFonts w:eastAsia="Calibri"/>
                <w:sz w:val="22"/>
                <w:szCs w:val="22"/>
                <w:lang w:val="lt-LT"/>
              </w:rPr>
              <w:t>≥ 36 mėnesiai</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r w:rsidR="00CE7AE5" w:rsidRPr="00C27A52" w:rsidTr="0033558D">
        <w:tc>
          <w:tcPr>
            <w:tcW w:w="571" w:type="dxa"/>
          </w:tcPr>
          <w:p w:rsidR="00CE7AE5" w:rsidRPr="00C27A52" w:rsidRDefault="00CE7AE5" w:rsidP="00CE7AE5">
            <w:pPr>
              <w:numPr>
                <w:ilvl w:val="0"/>
                <w:numId w:val="1"/>
              </w:numPr>
              <w:ind w:left="113" w:firstLine="0"/>
              <w:rPr>
                <w:rFonts w:eastAsia="Calibri"/>
                <w:sz w:val="22"/>
                <w:szCs w:val="22"/>
                <w:lang w:val="lt-LT"/>
              </w:rPr>
            </w:pPr>
          </w:p>
        </w:tc>
        <w:tc>
          <w:tcPr>
            <w:tcW w:w="3261" w:type="dxa"/>
            <w:hideMark/>
          </w:tcPr>
          <w:p w:rsidR="00CE7AE5" w:rsidRPr="00C27A52" w:rsidRDefault="00CE7AE5" w:rsidP="00CE7AE5">
            <w:pPr>
              <w:rPr>
                <w:rFonts w:eastAsia="Calibri"/>
                <w:sz w:val="22"/>
                <w:szCs w:val="22"/>
                <w:lang w:val="lt-LT"/>
              </w:rPr>
            </w:pPr>
            <w:r w:rsidRPr="00C27A52">
              <w:rPr>
                <w:rFonts w:eastAsia="Calibri"/>
                <w:sz w:val="22"/>
                <w:szCs w:val="22"/>
                <w:lang w:val="lt-LT"/>
              </w:rPr>
              <w:t>Aparato žymėjimas CE ženklu</w:t>
            </w:r>
          </w:p>
        </w:tc>
        <w:tc>
          <w:tcPr>
            <w:tcW w:w="3118" w:type="dxa"/>
            <w:hideMark/>
          </w:tcPr>
          <w:p w:rsidR="00CE7AE5" w:rsidRPr="00C27A52" w:rsidRDefault="00CE7AE5" w:rsidP="00CE7AE5">
            <w:pPr>
              <w:widowControl w:val="0"/>
              <w:tabs>
                <w:tab w:val="center" w:pos="4153"/>
                <w:tab w:val="right" w:pos="8306"/>
              </w:tabs>
              <w:rPr>
                <w:rFonts w:eastAsia="Calibri"/>
                <w:sz w:val="22"/>
                <w:szCs w:val="22"/>
                <w:lang w:val="lt-LT"/>
              </w:rPr>
            </w:pPr>
            <w:r w:rsidRPr="00C27A52">
              <w:rPr>
                <w:rFonts w:eastAsia="Calibri"/>
                <w:sz w:val="22"/>
                <w:szCs w:val="22"/>
                <w:lang w:val="lt-LT"/>
              </w:rPr>
              <w:t>Pateikti CE sertifikato arba EB atitikties deklaracijos kopiją</w:t>
            </w:r>
          </w:p>
        </w:tc>
        <w:tc>
          <w:tcPr>
            <w:tcW w:w="2977" w:type="dxa"/>
          </w:tcPr>
          <w:p w:rsidR="00CE7AE5" w:rsidRPr="00C27A52" w:rsidRDefault="00CE7AE5" w:rsidP="00CE7AE5">
            <w:pPr>
              <w:widowControl w:val="0"/>
              <w:tabs>
                <w:tab w:val="center" w:pos="4153"/>
                <w:tab w:val="right" w:pos="8306"/>
              </w:tabs>
              <w:rPr>
                <w:rFonts w:eastAsia="Calibri"/>
                <w:sz w:val="22"/>
                <w:szCs w:val="22"/>
                <w:lang w:val="lt-LT"/>
              </w:rPr>
            </w:pPr>
          </w:p>
        </w:tc>
      </w:tr>
      <w:tr w:rsidR="00CE7AE5" w:rsidRPr="00C27A52" w:rsidTr="0033558D">
        <w:tc>
          <w:tcPr>
            <w:tcW w:w="57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numPr>
                <w:ilvl w:val="0"/>
                <w:numId w:val="1"/>
              </w:numPr>
              <w:ind w:left="113" w:firstLine="0"/>
              <w:rPr>
                <w:rFonts w:eastAsia="Calibri"/>
                <w:sz w:val="22"/>
                <w:szCs w:val="22"/>
                <w:lang w:val="lt-LT"/>
              </w:rPr>
            </w:pPr>
          </w:p>
        </w:tc>
        <w:tc>
          <w:tcPr>
            <w:tcW w:w="3261"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r w:rsidRPr="00C27A52">
              <w:rPr>
                <w:rFonts w:eastAsia="Calibri"/>
                <w:sz w:val="22"/>
                <w:szCs w:val="22"/>
                <w:lang w:val="lt-LT"/>
              </w:rPr>
              <w:t>Kartu su aparatu pateikiama dokumentacija</w:t>
            </w:r>
          </w:p>
        </w:tc>
        <w:tc>
          <w:tcPr>
            <w:tcW w:w="3118"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r w:rsidRPr="00C27A52">
              <w:rPr>
                <w:rFonts w:eastAsia="Calibri"/>
                <w:sz w:val="22"/>
                <w:szCs w:val="22"/>
                <w:lang w:val="lt-LT"/>
              </w:rPr>
              <w:t>Naudotojo instrukcija lietuvių ir anglų kalba</w:t>
            </w:r>
          </w:p>
        </w:tc>
        <w:tc>
          <w:tcPr>
            <w:tcW w:w="2977" w:type="dxa"/>
            <w:tcBorders>
              <w:top w:val="single" w:sz="4" w:space="0" w:color="auto"/>
              <w:left w:val="single" w:sz="4" w:space="0" w:color="auto"/>
              <w:bottom w:val="single" w:sz="4" w:space="0" w:color="auto"/>
              <w:right w:val="single" w:sz="4" w:space="0" w:color="auto"/>
            </w:tcBorders>
          </w:tcPr>
          <w:p w:rsidR="00CE7AE5" w:rsidRPr="00C27A52" w:rsidRDefault="00CE7AE5" w:rsidP="00CE7AE5">
            <w:pPr>
              <w:rPr>
                <w:rFonts w:eastAsia="Calibri"/>
                <w:sz w:val="22"/>
                <w:szCs w:val="22"/>
                <w:lang w:val="lt-LT"/>
              </w:rPr>
            </w:pPr>
          </w:p>
        </w:tc>
      </w:tr>
    </w:tbl>
    <w:p w:rsidR="009F753F" w:rsidRDefault="009F753F" w:rsidP="0013618F">
      <w:pPr>
        <w:jc w:val="center"/>
        <w:rPr>
          <w:lang w:val="lt-LT"/>
        </w:rPr>
      </w:pPr>
    </w:p>
    <w:tbl>
      <w:tblPr>
        <w:tblW w:w="9913" w:type="dxa"/>
        <w:tblLook w:val="04A0" w:firstRow="1" w:lastRow="0" w:firstColumn="1" w:lastColumn="0" w:noHBand="0" w:noVBand="1"/>
      </w:tblPr>
      <w:tblGrid>
        <w:gridCol w:w="557"/>
        <w:gridCol w:w="5387"/>
        <w:gridCol w:w="3969"/>
      </w:tblGrid>
      <w:tr w:rsidR="003B080C" w:rsidTr="003B080C">
        <w:trPr>
          <w:trHeight w:val="600"/>
        </w:trPr>
        <w:tc>
          <w:tcPr>
            <w:tcW w:w="55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080C" w:rsidRDefault="003B080C" w:rsidP="00FA006B">
            <w:pPr>
              <w:rPr>
                <w:color w:val="000000"/>
                <w:sz w:val="22"/>
                <w:szCs w:val="22"/>
              </w:rPr>
            </w:pPr>
            <w:r>
              <w:rPr>
                <w:color w:val="000000"/>
                <w:sz w:val="22"/>
                <w:szCs w:val="22"/>
              </w:rPr>
              <w:t>Eil. Nr.</w:t>
            </w:r>
          </w:p>
        </w:tc>
        <w:tc>
          <w:tcPr>
            <w:tcW w:w="5387" w:type="dxa"/>
            <w:tcBorders>
              <w:top w:val="single" w:sz="8" w:space="0" w:color="auto"/>
              <w:left w:val="nil"/>
              <w:bottom w:val="nil"/>
              <w:right w:val="single" w:sz="8" w:space="0" w:color="auto"/>
            </w:tcBorders>
            <w:shd w:val="clear" w:color="auto" w:fill="auto"/>
            <w:vAlign w:val="center"/>
            <w:hideMark/>
          </w:tcPr>
          <w:p w:rsidR="003B080C" w:rsidRDefault="003B080C" w:rsidP="00FA006B">
            <w:pPr>
              <w:jc w:val="center"/>
              <w:rPr>
                <w:color w:val="000000"/>
                <w:sz w:val="22"/>
                <w:szCs w:val="22"/>
              </w:rPr>
            </w:pPr>
            <w:r>
              <w:rPr>
                <w:color w:val="000000"/>
                <w:sz w:val="22"/>
                <w:szCs w:val="22"/>
              </w:rPr>
              <w:t>Techninės specifikacijos reikalavimas dėl Viešųjų pirkimų įstatymo (toliau – VPĮ)</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B080C" w:rsidRDefault="003B080C" w:rsidP="00FA006B">
            <w:pPr>
              <w:jc w:val="center"/>
              <w:rPr>
                <w:color w:val="000000"/>
                <w:sz w:val="22"/>
                <w:szCs w:val="22"/>
              </w:rPr>
            </w:pPr>
            <w:r>
              <w:rPr>
                <w:color w:val="000000"/>
                <w:sz w:val="22"/>
                <w:szCs w:val="22"/>
              </w:rPr>
              <w:t>Įrodantys dokumentai</w:t>
            </w:r>
          </w:p>
        </w:tc>
      </w:tr>
      <w:tr w:rsidR="003B080C" w:rsidTr="003B080C">
        <w:trPr>
          <w:trHeight w:val="330"/>
        </w:trPr>
        <w:tc>
          <w:tcPr>
            <w:tcW w:w="557" w:type="dxa"/>
            <w:vMerge/>
            <w:tcBorders>
              <w:top w:val="single" w:sz="8" w:space="0" w:color="auto"/>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single" w:sz="8" w:space="0" w:color="auto"/>
              <w:right w:val="single" w:sz="8" w:space="0" w:color="auto"/>
            </w:tcBorders>
            <w:shd w:val="clear" w:color="auto" w:fill="auto"/>
            <w:vAlign w:val="center"/>
            <w:hideMark/>
          </w:tcPr>
          <w:p w:rsidR="003B080C" w:rsidRDefault="003B080C" w:rsidP="00FA006B">
            <w:pPr>
              <w:jc w:val="center"/>
              <w:rPr>
                <w:color w:val="000000"/>
                <w:sz w:val="22"/>
                <w:szCs w:val="22"/>
              </w:rPr>
            </w:pPr>
            <w:r>
              <w:rPr>
                <w:color w:val="000000"/>
                <w:sz w:val="22"/>
                <w:szCs w:val="22"/>
              </w:rPr>
              <w:t>37 str. 9 d. nuostatų</w:t>
            </w:r>
          </w:p>
        </w:tc>
        <w:tc>
          <w:tcPr>
            <w:tcW w:w="3969" w:type="dxa"/>
            <w:vMerge/>
            <w:tcBorders>
              <w:top w:val="single" w:sz="8" w:space="0" w:color="auto"/>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r>
      <w:tr w:rsidR="003B080C" w:rsidTr="003B080C">
        <w:trPr>
          <w:trHeight w:val="3600"/>
        </w:trPr>
        <w:tc>
          <w:tcPr>
            <w:tcW w:w="557" w:type="dxa"/>
            <w:vMerge w:val="restart"/>
            <w:tcBorders>
              <w:top w:val="nil"/>
              <w:left w:val="single" w:sz="8" w:space="0" w:color="auto"/>
              <w:bottom w:val="single" w:sz="8" w:space="0" w:color="000000"/>
              <w:right w:val="single" w:sz="8" w:space="0" w:color="auto"/>
            </w:tcBorders>
            <w:shd w:val="clear" w:color="auto" w:fill="auto"/>
            <w:vAlign w:val="center"/>
            <w:hideMark/>
          </w:tcPr>
          <w:p w:rsidR="003B080C" w:rsidRDefault="003B080C" w:rsidP="003B080C">
            <w:pPr>
              <w:jc w:val="center"/>
              <w:rPr>
                <w:color w:val="000000"/>
                <w:sz w:val="22"/>
                <w:szCs w:val="22"/>
              </w:rPr>
            </w:pPr>
            <w:r>
              <w:rPr>
                <w:color w:val="000000"/>
                <w:sz w:val="22"/>
                <w:szCs w:val="22"/>
              </w:rPr>
              <w:t>I</w:t>
            </w:r>
            <w:r>
              <w:rPr>
                <w:color w:val="000000"/>
                <w:sz w:val="22"/>
                <w:szCs w:val="22"/>
              </w:rPr>
              <w:t>.</w:t>
            </w:r>
          </w:p>
        </w:tc>
        <w:tc>
          <w:tcPr>
            <w:tcW w:w="5387" w:type="dxa"/>
            <w:tcBorders>
              <w:top w:val="nil"/>
              <w:left w:val="nil"/>
              <w:bottom w:val="nil"/>
              <w:right w:val="single" w:sz="8" w:space="0" w:color="auto"/>
            </w:tcBorders>
            <w:shd w:val="clear" w:color="auto" w:fill="auto"/>
            <w:vAlign w:val="center"/>
            <w:hideMark/>
          </w:tcPr>
          <w:p w:rsidR="003B080C" w:rsidRDefault="003B080C" w:rsidP="003B080C">
            <w:pPr>
              <w:jc w:val="both"/>
              <w:rPr>
                <w:color w:val="000000"/>
                <w:sz w:val="22"/>
                <w:szCs w:val="22"/>
              </w:rPr>
            </w:pPr>
            <w:bookmarkStart w:id="0" w:name="_GoBack"/>
            <w:r w:rsidRPr="000E2425">
              <w:rPr>
                <w:sz w:val="22"/>
                <w:szCs w:val="22"/>
              </w:rPr>
              <w:t xml:space="preserve">Vadovaujantis Viešųjų pirkimų tarnybos  https://vpt.lrv.lt/lt/naujienos-3/del-nacionalinio-saugumo-reikalavimu-taikymo-pirkimuose/  išaiškinimu 1 Pirkimo objekto dalyje nurodytai sudedamajai daliai (SPS 1 priedas „Pasiūlymo forma/techninė specifikacija/vertinimo kriterijai ir tvarka“ dalyje „Techninė specifikacija“ </w:t>
            </w:r>
            <w:r w:rsidRPr="000E2425">
              <w:rPr>
                <w:sz w:val="22"/>
                <w:szCs w:val="22"/>
              </w:rPr>
              <w:t>1</w:t>
            </w:r>
            <w:r w:rsidRPr="000E2425">
              <w:rPr>
                <w:sz w:val="22"/>
                <w:szCs w:val="22"/>
              </w:rPr>
              <w:noBreakHyphen/>
              <w:t>9 </w:t>
            </w:r>
            <w:r w:rsidRPr="000E2425">
              <w:rPr>
                <w:sz w:val="22"/>
                <w:szCs w:val="22"/>
              </w:rPr>
              <w:t>punktai), BVPŽ koda</w:t>
            </w:r>
            <w:r w:rsidRPr="000E2425">
              <w:rPr>
                <w:sz w:val="22"/>
                <w:szCs w:val="22"/>
              </w:rPr>
              <w:t>s</w:t>
            </w:r>
            <w:r w:rsidRPr="000E2425">
              <w:rPr>
                <w:sz w:val="22"/>
                <w:szCs w:val="22"/>
              </w:rPr>
              <w:t xml:space="preserve"> 48000000 (Programinės įrangos paketai ir informacinės sistemos), nurodytiems Viešųjų pirkimų įstatymo 92 straipsnio 13 dalyje numatytame sąraše, todėl laikoma, kad prekės ar paslaugos kelia grėsmę nacionaliniam saugumui</w:t>
            </w:r>
            <w:bookmarkEnd w:id="0"/>
            <w:r>
              <w:rPr>
                <w:color w:val="000000"/>
                <w:sz w:val="22"/>
                <w:szCs w:val="22"/>
              </w:rPr>
              <w:t>, kai:</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bookmarkStart w:id="1" w:name="RANGE!C203"/>
            <w:r>
              <w:rPr>
                <w:color w:val="000000"/>
                <w:sz w:val="22"/>
                <w:szCs w:val="22"/>
              </w:rPr>
              <w:t xml:space="preserve">Pateikti Viešųjų pirkimų tarnybos nustatytos formos atitikties deklaraciją SPS 4 priede  </w:t>
            </w:r>
            <w:r>
              <w:rPr>
                <w:b/>
                <w:bCs/>
                <w:color w:val="000000"/>
                <w:sz w:val="22"/>
                <w:szCs w:val="22"/>
              </w:rPr>
              <w:t>(pateikiama su pasiūlymu).</w:t>
            </w:r>
            <w:bookmarkEnd w:id="1"/>
          </w:p>
        </w:tc>
      </w:tr>
      <w:tr w:rsidR="003B080C" w:rsidTr="003B080C">
        <w:trPr>
          <w:trHeight w:val="150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xml:space="preserve">Ekonomiškai naudingiausią pasiūlymą pateikęs tiekėjas turės pateikti SPS priede Nr. 5 užpildytą lentelę ir vieną ar kelis šiuos dokumentus: </w:t>
            </w:r>
          </w:p>
        </w:tc>
      </w:tr>
      <w:tr w:rsidR="003B080C" w:rsidTr="003B080C">
        <w:trPr>
          <w:trHeight w:val="90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2) paslaugų teikimas būtų vykdomas iš šio įstatymo 92 straipsnio 14 dalyje numatytame sąraše nurodytų valstybių ar teritorijų.</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bookmarkStart w:id="2" w:name="RANGE!C205"/>
            <w:r>
              <w:rPr>
                <w:color w:val="000000"/>
                <w:sz w:val="22"/>
                <w:szCs w:val="22"/>
              </w:rPr>
              <w:t xml:space="preserve">-juridinio asmens (tiekėjo) vadovo patvirtintą juridinio asmens steigimo dokumentų kopiją; </w:t>
            </w:r>
            <w:bookmarkEnd w:id="2"/>
          </w:p>
        </w:tc>
      </w:tr>
      <w:tr w:rsidR="003B080C" w:rsidTr="003B080C">
        <w:trPr>
          <w:trHeight w:val="315"/>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juridinių asmenų registro išplėstinį išrašą (JAR) su istorija;</w:t>
            </w:r>
          </w:p>
        </w:tc>
      </w:tr>
      <w:tr w:rsidR="003B080C" w:rsidTr="003B080C">
        <w:trPr>
          <w:trHeight w:val="120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vAlign w:val="center"/>
            <w:hideMark/>
          </w:tcPr>
          <w:p w:rsidR="003B080C" w:rsidRDefault="003B080C" w:rsidP="00FA006B">
            <w:pPr>
              <w:jc w:val="both"/>
              <w:rPr>
                <w:i/>
                <w:iCs/>
                <w:color w:val="000000"/>
                <w:sz w:val="22"/>
                <w:szCs w:val="22"/>
              </w:rPr>
            </w:pPr>
            <w:r>
              <w:rPr>
                <w:i/>
                <w:iCs/>
                <w:color w:val="000000"/>
                <w:sz w:val="22"/>
                <w:szCs w:val="22"/>
              </w:rPr>
              <w:t xml:space="preserve">(Viešųjų pirkimų įstatymo 37 str. 9 d., LR vyriausybės 2022-03-30 nutarimas Nr. 280 „Dėl LR viešųjų pirkimų įstatymo 92 straipsnio 13, 14 ir 15 dalių nuostatų įgyvendinimo (aktuali redakcija)) </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Juridinių asmenų dalyvių informacinės sistemos išrašą (JADIS);</w:t>
            </w:r>
          </w:p>
        </w:tc>
      </w:tr>
      <w:tr w:rsidR="003B080C" w:rsidTr="003B080C">
        <w:trPr>
          <w:trHeight w:val="60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hideMark/>
          </w:tcPr>
          <w:p w:rsidR="003B080C" w:rsidRDefault="003B080C" w:rsidP="00FA006B">
            <w:pPr>
              <w:rPr>
                <w:rFonts w:ascii="Calibri" w:hAnsi="Calibri" w:cs="Calibri"/>
                <w:color w:val="000000"/>
                <w:sz w:val="22"/>
                <w:szCs w:val="22"/>
              </w:rPr>
            </w:pPr>
            <w:r>
              <w:rPr>
                <w:rFonts w:ascii="Calibri" w:hAnsi="Calibri" w:cs="Calibri"/>
                <w:color w:val="000000"/>
                <w:sz w:val="22"/>
                <w:szCs w:val="22"/>
              </w:rPr>
              <w:t> </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xml:space="preserve">- asmens tapatybę patvirtinančio dokumento (tapatybės kortelės ar paso) kopiją; </w:t>
            </w:r>
          </w:p>
        </w:tc>
      </w:tr>
      <w:tr w:rsidR="003B080C" w:rsidTr="003B080C">
        <w:trPr>
          <w:trHeight w:val="90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hideMark/>
          </w:tcPr>
          <w:p w:rsidR="003B080C" w:rsidRDefault="003B080C" w:rsidP="00FA006B">
            <w:pPr>
              <w:rPr>
                <w:rFonts w:ascii="Calibri" w:hAnsi="Calibri" w:cs="Calibri"/>
                <w:color w:val="000000"/>
                <w:sz w:val="22"/>
                <w:szCs w:val="22"/>
              </w:rPr>
            </w:pPr>
            <w:r>
              <w:rPr>
                <w:rFonts w:ascii="Calibri" w:hAnsi="Calibri" w:cs="Calibri"/>
                <w:color w:val="000000"/>
                <w:sz w:val="22"/>
                <w:szCs w:val="22"/>
              </w:rPr>
              <w:t> </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leidimo verstis atitinkama ūkine veikla patvirtinančio dokumento (pavyzdžiui, verslo liudijimo, individualios veiklos pažymėjimo ir pan.) kopiją;</w:t>
            </w:r>
          </w:p>
        </w:tc>
      </w:tr>
      <w:tr w:rsidR="003B080C" w:rsidTr="003B080C">
        <w:trPr>
          <w:trHeight w:val="315"/>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hideMark/>
          </w:tcPr>
          <w:p w:rsidR="003B080C" w:rsidRDefault="003B080C" w:rsidP="00FA006B">
            <w:pPr>
              <w:rPr>
                <w:rFonts w:ascii="Calibri" w:hAnsi="Calibri" w:cs="Calibri"/>
                <w:color w:val="000000"/>
                <w:sz w:val="22"/>
                <w:szCs w:val="22"/>
              </w:rPr>
            </w:pPr>
            <w:r>
              <w:rPr>
                <w:rFonts w:ascii="Calibri" w:hAnsi="Calibri" w:cs="Calibri"/>
                <w:color w:val="000000"/>
                <w:sz w:val="22"/>
                <w:szCs w:val="22"/>
              </w:rPr>
              <w:t> </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pažymą apie deklaruotą gyvenamąją vietą;</w:t>
            </w:r>
          </w:p>
        </w:tc>
      </w:tr>
      <w:tr w:rsidR="003B080C" w:rsidTr="003B080C">
        <w:trPr>
          <w:trHeight w:val="180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nil"/>
              <w:right w:val="single" w:sz="8" w:space="0" w:color="auto"/>
            </w:tcBorders>
            <w:shd w:val="clear" w:color="auto" w:fill="auto"/>
            <w:hideMark/>
          </w:tcPr>
          <w:p w:rsidR="003B080C" w:rsidRDefault="003B080C" w:rsidP="00FA006B">
            <w:pPr>
              <w:rPr>
                <w:rFonts w:ascii="Calibri" w:hAnsi="Calibri" w:cs="Calibri"/>
                <w:color w:val="000000"/>
                <w:sz w:val="22"/>
                <w:szCs w:val="22"/>
              </w:rPr>
            </w:pPr>
            <w:r>
              <w:rPr>
                <w:rFonts w:ascii="Calibri" w:hAnsi="Calibri" w:cs="Calibri"/>
                <w:color w:val="000000"/>
                <w:sz w:val="22"/>
                <w:szCs w:val="22"/>
              </w:rPr>
              <w:t> </w:t>
            </w:r>
          </w:p>
        </w:tc>
        <w:tc>
          <w:tcPr>
            <w:tcW w:w="3969" w:type="dxa"/>
            <w:tcBorders>
              <w:top w:val="nil"/>
              <w:left w:val="nil"/>
              <w:bottom w:val="nil"/>
              <w:right w:val="single" w:sz="8" w:space="0" w:color="auto"/>
            </w:tcBorders>
            <w:shd w:val="clear" w:color="auto" w:fill="auto"/>
            <w:vAlign w:val="center"/>
            <w:hideMark/>
          </w:tcPr>
          <w:p w:rsidR="003B080C" w:rsidRDefault="003B080C" w:rsidP="00FA006B">
            <w:pPr>
              <w:jc w:val="both"/>
              <w:rPr>
                <w:color w:val="000000"/>
                <w:sz w:val="22"/>
                <w:szCs w:val="22"/>
              </w:rPr>
            </w:pPr>
            <w:r>
              <w:rPr>
                <w:color w:val="000000"/>
                <w:sz w:val="22"/>
                <w:szCs w:val="22"/>
              </w:rPr>
              <w:t>-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tc>
      </w:tr>
      <w:tr w:rsidR="003B080C" w:rsidTr="003B080C">
        <w:trPr>
          <w:trHeight w:val="330"/>
        </w:trPr>
        <w:tc>
          <w:tcPr>
            <w:tcW w:w="557" w:type="dxa"/>
            <w:vMerge/>
            <w:tcBorders>
              <w:top w:val="nil"/>
              <w:left w:val="single" w:sz="8" w:space="0" w:color="auto"/>
              <w:bottom w:val="single" w:sz="8" w:space="0" w:color="000000"/>
              <w:right w:val="single" w:sz="8" w:space="0" w:color="auto"/>
            </w:tcBorders>
            <w:vAlign w:val="center"/>
            <w:hideMark/>
          </w:tcPr>
          <w:p w:rsidR="003B080C" w:rsidRDefault="003B080C" w:rsidP="00FA006B">
            <w:pPr>
              <w:rPr>
                <w:color w:val="000000"/>
                <w:sz w:val="22"/>
                <w:szCs w:val="22"/>
              </w:rPr>
            </w:pPr>
          </w:p>
        </w:tc>
        <w:tc>
          <w:tcPr>
            <w:tcW w:w="5387" w:type="dxa"/>
            <w:tcBorders>
              <w:top w:val="nil"/>
              <w:left w:val="nil"/>
              <w:bottom w:val="single" w:sz="8" w:space="0" w:color="auto"/>
              <w:right w:val="single" w:sz="8" w:space="0" w:color="auto"/>
            </w:tcBorders>
            <w:shd w:val="clear" w:color="auto" w:fill="auto"/>
            <w:hideMark/>
          </w:tcPr>
          <w:p w:rsidR="003B080C" w:rsidRDefault="003B080C" w:rsidP="00FA006B">
            <w:pPr>
              <w:rPr>
                <w:rFonts w:ascii="Calibri" w:hAnsi="Calibri" w:cs="Calibri"/>
                <w:color w:val="000000"/>
                <w:sz w:val="22"/>
                <w:szCs w:val="22"/>
              </w:rPr>
            </w:pPr>
            <w:r>
              <w:rPr>
                <w:rFonts w:ascii="Calibri" w:hAnsi="Calibri" w:cs="Calibri"/>
                <w:color w:val="000000"/>
                <w:sz w:val="22"/>
                <w:szCs w:val="22"/>
              </w:rPr>
              <w:t> </w:t>
            </w:r>
          </w:p>
        </w:tc>
        <w:tc>
          <w:tcPr>
            <w:tcW w:w="3969" w:type="dxa"/>
            <w:tcBorders>
              <w:top w:val="nil"/>
              <w:left w:val="nil"/>
              <w:bottom w:val="single" w:sz="8" w:space="0" w:color="auto"/>
              <w:right w:val="single" w:sz="8" w:space="0" w:color="auto"/>
            </w:tcBorders>
            <w:shd w:val="clear" w:color="auto" w:fill="auto"/>
            <w:vAlign w:val="center"/>
            <w:hideMark/>
          </w:tcPr>
          <w:p w:rsidR="003B080C" w:rsidRDefault="003B080C" w:rsidP="00FA006B">
            <w:pPr>
              <w:jc w:val="both"/>
              <w:rPr>
                <w:i/>
                <w:iCs/>
                <w:color w:val="000000"/>
                <w:sz w:val="22"/>
                <w:szCs w:val="22"/>
              </w:rPr>
            </w:pPr>
            <w:r>
              <w:rPr>
                <w:i/>
                <w:iCs/>
                <w:color w:val="000000"/>
                <w:sz w:val="22"/>
                <w:szCs w:val="22"/>
              </w:rPr>
              <w:t>(Viešųjų pirkimų įstatymo 39  str. 3 d.)</w:t>
            </w:r>
          </w:p>
        </w:tc>
      </w:tr>
    </w:tbl>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Pr="009F753F" w:rsidRDefault="009F753F" w:rsidP="009F753F">
      <w:pPr>
        <w:rPr>
          <w:lang w:val="lt-LT"/>
        </w:rPr>
      </w:pPr>
    </w:p>
    <w:p w:rsidR="009F753F" w:rsidRDefault="009F753F" w:rsidP="009F753F">
      <w:pPr>
        <w:rPr>
          <w:lang w:val="lt-LT"/>
        </w:rPr>
      </w:pPr>
    </w:p>
    <w:p w:rsidR="009F753F" w:rsidRPr="009F753F" w:rsidRDefault="009F753F" w:rsidP="009F753F">
      <w:pPr>
        <w:rPr>
          <w:lang w:val="lt-LT"/>
        </w:rPr>
      </w:pPr>
    </w:p>
    <w:p w:rsidR="009F753F" w:rsidRDefault="009F753F" w:rsidP="009F753F">
      <w:pPr>
        <w:rPr>
          <w:lang w:val="lt-LT"/>
        </w:rPr>
      </w:pPr>
    </w:p>
    <w:p w:rsidR="00DC3AC1" w:rsidRDefault="00DC3AC1" w:rsidP="009F753F">
      <w:pPr>
        <w:rPr>
          <w:lang w:val="lt-LT"/>
        </w:rPr>
      </w:pPr>
    </w:p>
    <w:p w:rsidR="00DC3AC1" w:rsidRDefault="00DC3AC1" w:rsidP="009F753F">
      <w:pPr>
        <w:rPr>
          <w:lang w:val="lt-LT"/>
        </w:rPr>
      </w:pPr>
    </w:p>
    <w:p w:rsidR="00DC3AC1" w:rsidRDefault="00DC3AC1" w:rsidP="009F753F">
      <w:pPr>
        <w:rPr>
          <w:lang w:val="lt-LT"/>
        </w:rPr>
      </w:pPr>
    </w:p>
    <w:p w:rsidR="00DC3AC1" w:rsidRDefault="00DC3AC1" w:rsidP="009F753F">
      <w:pPr>
        <w:rPr>
          <w:lang w:val="lt-LT"/>
        </w:rPr>
      </w:pPr>
    </w:p>
    <w:p w:rsidR="003B080C" w:rsidRDefault="003B080C" w:rsidP="009F753F">
      <w:pPr>
        <w:widowControl w:val="0"/>
        <w:shd w:val="clear" w:color="auto" w:fill="FFFFFF"/>
        <w:jc w:val="center"/>
        <w:rPr>
          <w:b/>
          <w:bCs/>
        </w:rPr>
      </w:pPr>
    </w:p>
    <w:p w:rsidR="009F753F" w:rsidRDefault="009F753F" w:rsidP="009F753F">
      <w:pPr>
        <w:widowControl w:val="0"/>
        <w:shd w:val="clear" w:color="auto" w:fill="FFFFFF"/>
        <w:jc w:val="center"/>
        <w:rPr>
          <w:rFonts w:eastAsiaTheme="minorHAnsi"/>
          <w:b/>
          <w:bCs/>
          <w:sz w:val="22"/>
          <w:szCs w:val="22"/>
          <w:lang w:val="lt-LT"/>
        </w:rPr>
      </w:pPr>
      <w:r>
        <w:rPr>
          <w:b/>
          <w:bCs/>
        </w:rPr>
        <w:lastRenderedPageBreak/>
        <w:t>EKONOMIŠKAI NAUDINGIAUSIO (KAINOS IR KOKYBĖS SANTYKIO)</w:t>
      </w:r>
    </w:p>
    <w:p w:rsidR="009F753F" w:rsidRDefault="009F753F" w:rsidP="009F753F">
      <w:pPr>
        <w:widowControl w:val="0"/>
        <w:shd w:val="clear" w:color="auto" w:fill="FFFFFF"/>
        <w:jc w:val="center"/>
        <w:rPr>
          <w:rFonts w:eastAsia="Calibri"/>
          <w:b/>
          <w:bCs/>
        </w:rPr>
      </w:pPr>
      <w:r>
        <w:rPr>
          <w:b/>
          <w:bCs/>
        </w:rPr>
        <w:t>PASIŪLYMO VERTINIMO KRITERIJAI IR TVARKA</w:t>
      </w:r>
    </w:p>
    <w:p w:rsidR="009F753F" w:rsidRDefault="009F753F" w:rsidP="009F753F">
      <w:pPr>
        <w:widowControl w:val="0"/>
        <w:shd w:val="clear" w:color="auto" w:fill="FFFFFF"/>
        <w:jc w:val="center"/>
        <w:rPr>
          <w:b/>
          <w:bCs/>
        </w:rPr>
      </w:pPr>
    </w:p>
    <w:p w:rsidR="009F753F" w:rsidRDefault="009F753F" w:rsidP="009F753F">
      <w:pPr>
        <w:widowControl w:val="0"/>
        <w:shd w:val="clear" w:color="auto" w:fill="FFFFFF"/>
        <w:jc w:val="center"/>
        <w:rPr>
          <w:b/>
        </w:rPr>
      </w:pPr>
      <w:proofErr w:type="spellStart"/>
      <w:r>
        <w:rPr>
          <w:b/>
        </w:rPr>
        <w:t>Holter</w:t>
      </w:r>
      <w:proofErr w:type="spellEnd"/>
      <w:r>
        <w:rPr>
          <w:b/>
        </w:rPr>
        <w:t xml:space="preserve"> sistema</w:t>
      </w:r>
    </w:p>
    <w:p w:rsidR="009F753F" w:rsidRDefault="009F753F" w:rsidP="009F753F">
      <w:pPr>
        <w:widowControl w:val="0"/>
        <w:shd w:val="clear" w:color="auto" w:fill="FFFFFF"/>
        <w:jc w:val="center"/>
        <w:rPr>
          <w:b/>
          <w:bCs/>
        </w:rPr>
      </w:pPr>
      <w:r>
        <w:t xml:space="preserve"> </w:t>
      </w:r>
    </w:p>
    <w:p w:rsidR="009F753F" w:rsidRDefault="009F753F" w:rsidP="009F753F">
      <w:pPr>
        <w:widowControl w:val="0"/>
        <w:shd w:val="clear" w:color="auto" w:fill="FFFFFF"/>
        <w:ind w:firstLine="709"/>
        <w:jc w:val="both"/>
      </w:pPr>
      <w:r>
        <w:t xml:space="preserve">         Perkančioji organizacija pasiūlymus vertins pagal kainos ir kokybės santykio kriterijų. Numatytų vertinimo kriterijų lyginamieji svoriai:</w:t>
      </w:r>
    </w:p>
    <w:p w:rsidR="009F753F" w:rsidRDefault="009F753F" w:rsidP="009F753F">
      <w:pPr>
        <w:widowControl w:val="0"/>
        <w:shd w:val="clear" w:color="auto" w:fill="FFFFFF"/>
        <w:tabs>
          <w:tab w:val="left" w:pos="2055"/>
        </w:tabs>
        <w:ind w:firstLine="709"/>
        <w:jc w:val="both"/>
      </w:pPr>
      <w:r>
        <w:tab/>
      </w:r>
    </w:p>
    <w:p w:rsidR="009F753F" w:rsidRDefault="009F753F" w:rsidP="009F753F">
      <w:pPr>
        <w:widowControl w:val="0"/>
        <w:shd w:val="clear" w:color="auto" w:fill="FFFFFF"/>
        <w:ind w:firstLine="709"/>
        <w:jc w:val="both"/>
      </w:pPr>
      <w:r>
        <w:t>1) kaina (C) – 70;</w:t>
      </w:r>
    </w:p>
    <w:p w:rsidR="009F753F" w:rsidRDefault="009F753F" w:rsidP="009F753F">
      <w:pPr>
        <w:widowControl w:val="0"/>
        <w:shd w:val="clear" w:color="auto" w:fill="FFFFFF"/>
        <w:ind w:firstLine="709"/>
        <w:jc w:val="both"/>
      </w:pPr>
      <w:r>
        <w:t>2) techniniai pranašumai (T) – 30;</w:t>
      </w:r>
    </w:p>
    <w:p w:rsidR="009F753F" w:rsidRDefault="009F753F" w:rsidP="009F753F">
      <w:pPr>
        <w:widowControl w:val="0"/>
        <w:shd w:val="clear" w:color="auto" w:fill="FFFFFF"/>
        <w:ind w:firstLine="709"/>
        <w:jc w:val="both"/>
      </w:pPr>
    </w:p>
    <w:p w:rsidR="009F753F" w:rsidRDefault="009F753F" w:rsidP="009F753F">
      <w:pPr>
        <w:widowControl w:val="0"/>
        <w:shd w:val="clear" w:color="auto" w:fill="FFFFFF"/>
        <w:ind w:firstLine="709"/>
        <w:jc w:val="both"/>
      </w:pPr>
      <w:r>
        <w:t>Vertinimo kriterijai ir jų parametrų lyginamieji svoriai:</w:t>
      </w:r>
    </w:p>
    <w:p w:rsidR="009F753F" w:rsidRDefault="009F753F" w:rsidP="009F753F">
      <w:pPr>
        <w:tabs>
          <w:tab w:val="left" w:pos="567"/>
          <w:tab w:val="left" w:pos="993"/>
        </w:tabs>
        <w:jc w:val="both"/>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4608"/>
        <w:gridCol w:w="1629"/>
        <w:gridCol w:w="1418"/>
        <w:gridCol w:w="1559"/>
      </w:tblGrid>
      <w:tr w:rsidR="009F753F" w:rsidTr="009F753F">
        <w:trPr>
          <w:cantSplit/>
          <w:tblHeader/>
        </w:trPr>
        <w:tc>
          <w:tcPr>
            <w:tcW w:w="6799"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ind w:right="-456" w:firstLine="851"/>
              <w:jc w:val="center"/>
              <w:rPr>
                <w:b/>
                <w:bCs/>
              </w:rPr>
            </w:pPr>
            <w:r>
              <w:rPr>
                <w:b/>
                <w:bCs/>
              </w:rPr>
              <w:t>Vertinimo kriterijai</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jc w:val="center"/>
              <w:rPr>
                <w:b/>
                <w:bCs/>
              </w:rPr>
            </w:pPr>
            <w:r>
              <w:rPr>
                <w:b/>
                <w:bCs/>
              </w:rPr>
              <w:t>Parametro lyginamasis svoris</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jc w:val="center"/>
              <w:rPr>
                <w:b/>
                <w:bCs/>
              </w:rPr>
            </w:pPr>
            <w:r>
              <w:rPr>
                <w:b/>
                <w:bCs/>
              </w:rPr>
              <w:t>Lyginamasis svoris ekonominio naudingumo įvertinime</w:t>
            </w:r>
          </w:p>
        </w:tc>
      </w:tr>
      <w:tr w:rsidR="009F753F" w:rsidTr="009F753F">
        <w:trPr>
          <w:cantSplit/>
          <w:trHeight w:val="374"/>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rPr>
                <w:b/>
                <w:bCs/>
              </w:rPr>
            </w:pPr>
            <w:r>
              <w:rPr>
                <w:b/>
                <w:bCs/>
              </w:rPr>
              <w:t>Kaina (C)</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jc w:val="center"/>
              <w:rPr>
                <w:b/>
                <w:bCs/>
              </w:rPr>
            </w:pPr>
            <w:r>
              <w:rPr>
                <w:b/>
                <w:bCs/>
              </w:rPr>
              <w:t>X=70</w:t>
            </w:r>
          </w:p>
        </w:tc>
      </w:tr>
      <w:tr w:rsidR="009F753F" w:rsidTr="009F753F">
        <w:trPr>
          <w:cantSplit/>
          <w:trHeight w:val="472"/>
        </w:trPr>
        <w:tc>
          <w:tcPr>
            <w:tcW w:w="8217"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ind w:firstLine="34"/>
              <w:rPr>
                <w:b/>
                <w:bCs/>
              </w:rPr>
            </w:pPr>
            <w:proofErr w:type="spellStart"/>
            <w:r>
              <w:rPr>
                <w:b/>
                <w:bCs/>
              </w:rPr>
              <w:t>Holter</w:t>
            </w:r>
            <w:proofErr w:type="spellEnd"/>
            <w:r>
              <w:rPr>
                <w:b/>
                <w:bCs/>
              </w:rPr>
              <w:t xml:space="preserve"> sistemos techniniai pranašumai (T)</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ind w:firstLine="34"/>
              <w:jc w:val="center"/>
              <w:rPr>
                <w:b/>
                <w:bCs/>
              </w:rPr>
            </w:pPr>
            <w:r>
              <w:rPr>
                <w:b/>
                <w:bCs/>
              </w:rPr>
              <w:t>Y=30</w:t>
            </w:r>
          </w:p>
        </w:tc>
      </w:tr>
      <w:tr w:rsidR="009F753F" w:rsidTr="009F753F">
        <w:trPr>
          <w:trHeight w:val="552"/>
        </w:trPr>
        <w:tc>
          <w:tcPr>
            <w:tcW w:w="562"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ind w:left="-851" w:firstLine="851"/>
              <w:rPr>
                <w:b/>
                <w:bCs/>
              </w:rPr>
            </w:pPr>
            <w:r>
              <w:rPr>
                <w:b/>
                <w:bCs/>
              </w:rPr>
              <w:t>Nr.</w:t>
            </w:r>
          </w:p>
        </w:tc>
        <w:tc>
          <w:tcPr>
            <w:tcW w:w="460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tabs>
                <w:tab w:val="center" w:pos="2656"/>
              </w:tabs>
              <w:ind w:firstLine="34"/>
              <w:rPr>
                <w:b/>
                <w:bCs/>
              </w:rPr>
            </w:pPr>
            <w:r>
              <w:rPr>
                <w:b/>
                <w:bCs/>
              </w:rPr>
              <w:t>Parametras</w:t>
            </w:r>
          </w:p>
        </w:tc>
        <w:tc>
          <w:tcPr>
            <w:tcW w:w="1629"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F753F" w:rsidRDefault="009F753F">
            <w:pPr>
              <w:rPr>
                <w:b/>
                <w:bCs/>
                <w:szCs w:val="22"/>
              </w:rPr>
            </w:pPr>
            <w:r>
              <w:rPr>
                <w:b/>
                <w:bCs/>
              </w:rPr>
              <w:t>Palyginamasis / Statinis (Taip/Ne)</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753F" w:rsidRDefault="009F753F">
            <w:pPr>
              <w:ind w:firstLine="34"/>
              <w:jc w:val="center"/>
              <w:rPr>
                <w:b/>
                <w:bCs/>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753F" w:rsidRDefault="009F753F">
            <w:pPr>
              <w:ind w:firstLine="34"/>
              <w:jc w:val="center"/>
            </w:pPr>
          </w:p>
        </w:tc>
      </w:tr>
      <w:tr w:rsidR="009F753F" w:rsidTr="009F753F">
        <w:tc>
          <w:tcPr>
            <w:tcW w:w="562"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both"/>
              <w:rPr>
                <w:sz w:val="22"/>
              </w:rPr>
            </w:pPr>
            <w:r w:rsidRPr="009F753F">
              <w:rPr>
                <w:sz w:val="22"/>
              </w:rPr>
              <w:t>T1.</w:t>
            </w:r>
          </w:p>
        </w:tc>
        <w:tc>
          <w:tcPr>
            <w:tcW w:w="4608"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tabs>
                <w:tab w:val="left" w:pos="14175"/>
              </w:tabs>
              <w:ind w:right="-86"/>
              <w:rPr>
                <w:sz w:val="22"/>
                <w:lang w:bidi="lt-LT"/>
              </w:rPr>
            </w:pPr>
            <w:r w:rsidRPr="009F753F">
              <w:rPr>
                <w:sz w:val="22"/>
                <w:lang w:bidi="lt-LT"/>
              </w:rPr>
              <w:t xml:space="preserve">Įrangai suteikiama ilgesnė negu 36 mėn. garantija. </w:t>
            </w:r>
          </w:p>
          <w:p w:rsidR="009F753F" w:rsidRPr="009F753F" w:rsidRDefault="009F753F">
            <w:pPr>
              <w:tabs>
                <w:tab w:val="left" w:pos="14175"/>
              </w:tabs>
              <w:ind w:right="55"/>
              <w:rPr>
                <w:i/>
                <w:sz w:val="22"/>
              </w:rPr>
            </w:pPr>
            <w:r w:rsidRPr="009F753F">
              <w:rPr>
                <w:i/>
                <w:sz w:val="22"/>
                <w:lang w:bidi="lt-LT"/>
              </w:rPr>
              <w:t>Pastaba: Balas skiriamas už kiekvienus papildomus 12 mėn.</w:t>
            </w:r>
          </w:p>
        </w:tc>
        <w:tc>
          <w:tcPr>
            <w:tcW w:w="1629"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both"/>
              <w:rPr>
                <w:sz w:val="22"/>
              </w:rPr>
            </w:pPr>
            <w:r w:rsidRPr="009F753F">
              <w:rPr>
                <w:sz w:val="22"/>
              </w:rPr>
              <w:t>Palyginamasis: interpoliacinis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753F" w:rsidRPr="009F753F" w:rsidRDefault="009F753F">
            <w:pPr>
              <w:ind w:firstLine="34"/>
              <w:jc w:val="center"/>
              <w:rPr>
                <w:sz w:val="22"/>
              </w:rPr>
            </w:pPr>
            <w:r w:rsidRPr="009F753F">
              <w:rPr>
                <w:sz w:val="22"/>
              </w:rPr>
              <w:t>L</w:t>
            </w:r>
            <w:r w:rsidRPr="009F753F">
              <w:rPr>
                <w:sz w:val="22"/>
                <w:vertAlign w:val="subscript"/>
              </w:rPr>
              <w:t>1</w:t>
            </w:r>
            <w:r w:rsidRPr="009F753F">
              <w:rPr>
                <w:sz w:val="22"/>
              </w:rPr>
              <w:t xml:space="preserve"> = 0,3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753F" w:rsidRPr="009F753F" w:rsidRDefault="009F753F">
            <w:pPr>
              <w:ind w:firstLine="34"/>
              <w:jc w:val="center"/>
              <w:rPr>
                <w:sz w:val="22"/>
              </w:rPr>
            </w:pPr>
          </w:p>
        </w:tc>
      </w:tr>
      <w:tr w:rsidR="009F753F" w:rsidTr="009F753F">
        <w:tc>
          <w:tcPr>
            <w:tcW w:w="562"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both"/>
              <w:rPr>
                <w:sz w:val="22"/>
              </w:rPr>
            </w:pPr>
            <w:r w:rsidRPr="009F753F">
              <w:rPr>
                <w:sz w:val="22"/>
              </w:rPr>
              <w:t>T2.</w:t>
            </w:r>
          </w:p>
        </w:tc>
        <w:tc>
          <w:tcPr>
            <w:tcW w:w="4608"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tabs>
                <w:tab w:val="left" w:pos="14175"/>
              </w:tabs>
              <w:ind w:right="-86"/>
              <w:rPr>
                <w:sz w:val="22"/>
                <w:lang w:bidi="lt-LT"/>
              </w:rPr>
            </w:pPr>
            <w:r w:rsidRPr="009F753F">
              <w:rPr>
                <w:sz w:val="22"/>
                <w:szCs w:val="22"/>
                <w:lang w:bidi="lt-LT"/>
              </w:rPr>
              <w:t xml:space="preserve">Didžiausias </w:t>
            </w:r>
            <w:proofErr w:type="spellStart"/>
            <w:r w:rsidRPr="009F753F">
              <w:rPr>
                <w:sz w:val="22"/>
                <w:szCs w:val="22"/>
                <w:lang w:bidi="lt-LT"/>
              </w:rPr>
              <w:t>diskretizavimo</w:t>
            </w:r>
            <w:proofErr w:type="spellEnd"/>
            <w:r w:rsidRPr="009F753F">
              <w:rPr>
                <w:sz w:val="22"/>
                <w:szCs w:val="22"/>
                <w:lang w:bidi="lt-LT"/>
              </w:rPr>
              <w:t xml:space="preserve"> dažnis</w:t>
            </w:r>
            <w:r>
              <w:rPr>
                <w:sz w:val="22"/>
                <w:szCs w:val="22"/>
                <w:lang w:bidi="lt-LT"/>
              </w:rPr>
              <w:t xml:space="preserve"> (Hz)</w:t>
            </w:r>
            <w:r w:rsidRPr="009F753F">
              <w:rPr>
                <w:sz w:val="22"/>
                <w:szCs w:val="22"/>
                <w:lang w:bidi="lt-LT"/>
              </w:rPr>
              <w:t>.</w:t>
            </w:r>
          </w:p>
        </w:tc>
        <w:tc>
          <w:tcPr>
            <w:tcW w:w="1629"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both"/>
              <w:rPr>
                <w:sz w:val="22"/>
              </w:rPr>
            </w:pPr>
            <w:r w:rsidRPr="009F753F">
              <w:rPr>
                <w:sz w:val="22"/>
              </w:rPr>
              <w:t>Palyginamasis: interpoliacinis</w:t>
            </w:r>
          </w:p>
        </w:tc>
        <w:tc>
          <w:tcPr>
            <w:tcW w:w="1418" w:type="dxa"/>
            <w:tcBorders>
              <w:top w:val="single" w:sz="4" w:space="0" w:color="000000"/>
              <w:left w:val="single" w:sz="4" w:space="0" w:color="000000"/>
              <w:bottom w:val="single" w:sz="4" w:space="0" w:color="000000"/>
              <w:right w:val="single" w:sz="4" w:space="0" w:color="000000"/>
            </w:tcBorders>
            <w:vAlign w:val="center"/>
            <w:hideMark/>
          </w:tcPr>
          <w:p w:rsidR="009F753F" w:rsidRPr="009F753F" w:rsidRDefault="009F753F" w:rsidP="009F753F">
            <w:pPr>
              <w:ind w:firstLine="34"/>
              <w:jc w:val="center"/>
              <w:rPr>
                <w:sz w:val="22"/>
              </w:rPr>
            </w:pPr>
            <w:r w:rsidRPr="009F753F">
              <w:rPr>
                <w:sz w:val="22"/>
              </w:rPr>
              <w:t>L</w:t>
            </w:r>
            <w:r w:rsidRPr="009F753F">
              <w:rPr>
                <w:sz w:val="22"/>
                <w:vertAlign w:val="subscript"/>
              </w:rPr>
              <w:t>2</w:t>
            </w:r>
            <w:r w:rsidRPr="009F753F">
              <w:rPr>
                <w:sz w:val="22"/>
              </w:rPr>
              <w:t xml:space="preserve"> = 0,4</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753F" w:rsidRPr="009F753F" w:rsidRDefault="009F753F">
            <w:pPr>
              <w:ind w:firstLine="34"/>
              <w:jc w:val="center"/>
              <w:rPr>
                <w:sz w:val="22"/>
              </w:rPr>
            </w:pPr>
          </w:p>
        </w:tc>
      </w:tr>
      <w:tr w:rsidR="009F753F" w:rsidTr="009F753F">
        <w:tc>
          <w:tcPr>
            <w:tcW w:w="562"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both"/>
              <w:rPr>
                <w:sz w:val="22"/>
              </w:rPr>
            </w:pPr>
            <w:r w:rsidRPr="009F753F">
              <w:rPr>
                <w:sz w:val="22"/>
              </w:rPr>
              <w:t>T3.</w:t>
            </w:r>
          </w:p>
        </w:tc>
        <w:tc>
          <w:tcPr>
            <w:tcW w:w="4608"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ind w:left="33"/>
              <w:jc w:val="both"/>
              <w:rPr>
                <w:color w:val="000000" w:themeColor="text1"/>
                <w:sz w:val="22"/>
              </w:rPr>
            </w:pPr>
            <w:r w:rsidRPr="009F753F">
              <w:rPr>
                <w:sz w:val="22"/>
                <w:szCs w:val="22"/>
                <w:lang w:val="lt-LT" w:bidi="lt-LT"/>
              </w:rPr>
              <w:t>Ateityje galima įsigyti ir prijungti suderinamą SpO</w:t>
            </w:r>
            <w:r w:rsidRPr="009F753F">
              <w:rPr>
                <w:sz w:val="22"/>
                <w:szCs w:val="22"/>
                <w:vertAlign w:val="subscript"/>
                <w:lang w:val="lt-LT" w:bidi="lt-LT"/>
              </w:rPr>
              <w:t>2</w:t>
            </w:r>
            <w:r w:rsidRPr="009F753F">
              <w:rPr>
                <w:sz w:val="22"/>
                <w:szCs w:val="22"/>
                <w:lang w:val="lt-LT" w:bidi="lt-LT"/>
              </w:rPr>
              <w:t xml:space="preserve"> daviklį.</w:t>
            </w:r>
          </w:p>
        </w:tc>
        <w:tc>
          <w:tcPr>
            <w:tcW w:w="1629"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both"/>
              <w:rPr>
                <w:sz w:val="22"/>
              </w:rPr>
            </w:pPr>
            <w:r w:rsidRPr="009F753F">
              <w:rPr>
                <w:sz w:val="22"/>
              </w:rPr>
              <w:t>Statinis:</w:t>
            </w:r>
            <w:r w:rsidRPr="009F753F">
              <w:rPr>
                <w:sz w:val="22"/>
              </w:rPr>
              <w:br/>
              <w:t>(yra/nėra)</w:t>
            </w:r>
          </w:p>
        </w:tc>
        <w:tc>
          <w:tcPr>
            <w:tcW w:w="1418" w:type="dxa"/>
            <w:tcBorders>
              <w:top w:val="single" w:sz="4" w:space="0" w:color="000000"/>
              <w:left w:val="single" w:sz="4" w:space="0" w:color="000000"/>
              <w:bottom w:val="single" w:sz="4" w:space="0" w:color="000000"/>
              <w:right w:val="single" w:sz="4" w:space="0" w:color="000000"/>
            </w:tcBorders>
            <w:hideMark/>
          </w:tcPr>
          <w:p w:rsidR="009F753F" w:rsidRPr="009F753F" w:rsidRDefault="009F753F">
            <w:pPr>
              <w:jc w:val="center"/>
              <w:rPr>
                <w:sz w:val="22"/>
              </w:rPr>
            </w:pPr>
            <w:r w:rsidRPr="009F753F">
              <w:rPr>
                <w:sz w:val="22"/>
              </w:rPr>
              <w:t>L</w:t>
            </w:r>
            <w:r w:rsidRPr="009F753F">
              <w:rPr>
                <w:sz w:val="22"/>
                <w:vertAlign w:val="subscript"/>
              </w:rPr>
              <w:t>3</w:t>
            </w:r>
            <w:r w:rsidRPr="009F753F">
              <w:rPr>
                <w:sz w:val="22"/>
              </w:rPr>
              <w:t xml:space="preserve"> = 0,3 </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F753F" w:rsidRPr="009F753F" w:rsidRDefault="009F753F">
            <w:pPr>
              <w:ind w:firstLine="34"/>
              <w:jc w:val="center"/>
              <w:rPr>
                <w:sz w:val="22"/>
              </w:rPr>
            </w:pPr>
          </w:p>
        </w:tc>
      </w:tr>
    </w:tbl>
    <w:p w:rsidR="009F753F" w:rsidRDefault="009F753F" w:rsidP="009F753F">
      <w:pPr>
        <w:widowControl w:val="0"/>
        <w:shd w:val="clear" w:color="auto" w:fill="FFFFFF"/>
        <w:jc w:val="both"/>
        <w:rPr>
          <w:rFonts w:eastAsia="Calibri"/>
          <w:sz w:val="22"/>
          <w:szCs w:val="22"/>
          <w:lang w:eastAsia="en-US"/>
        </w:rPr>
      </w:pPr>
    </w:p>
    <w:p w:rsidR="009F753F" w:rsidRPr="009F753F" w:rsidRDefault="009F753F" w:rsidP="009F753F">
      <w:pPr>
        <w:widowControl w:val="0"/>
        <w:shd w:val="clear" w:color="auto" w:fill="FFFFFF"/>
        <w:jc w:val="both"/>
      </w:pPr>
      <w:r w:rsidRPr="009F753F">
        <w:t>Pasiūlymo ekonominio naudingumo (kainos ir kokybės santykio) apskaičiavimo tvarka (formulė) yra pateikiama žemiau:</w:t>
      </w:r>
    </w:p>
    <w:p w:rsidR="009F753F" w:rsidRPr="009F753F" w:rsidRDefault="009F753F" w:rsidP="009F753F">
      <w:pPr>
        <w:widowControl w:val="0"/>
        <w:shd w:val="clear" w:color="auto" w:fill="FFFFFF"/>
        <w:jc w:val="both"/>
      </w:pPr>
      <w:r w:rsidRPr="009F753F">
        <w:t>1. Pasiūlymo ekonominis naudingumas (S) apskaičiuojamas sudedant tiekėjo pasiūlymo kainos (C) ir techninių pranašumų (T) balus:</w:t>
      </w:r>
    </w:p>
    <w:p w:rsidR="009F753F" w:rsidRPr="009F753F" w:rsidRDefault="009F753F" w:rsidP="009F753F">
      <w:pPr>
        <w:widowControl w:val="0"/>
        <w:shd w:val="clear" w:color="auto" w:fill="FFFFFF"/>
        <w:jc w:val="center"/>
      </w:pPr>
      <w:r w:rsidRPr="009F753F">
        <w:rPr>
          <w:i/>
          <w:iCs/>
        </w:rPr>
        <w:t xml:space="preserve">S </w:t>
      </w:r>
      <w:r w:rsidRPr="009F753F">
        <w:t xml:space="preserve">= </w:t>
      </w:r>
      <w:r w:rsidRPr="009F753F">
        <w:rPr>
          <w:i/>
          <w:iCs/>
        </w:rPr>
        <w:t>C</w:t>
      </w:r>
      <w:r w:rsidRPr="009F753F">
        <w:t xml:space="preserve"> </w:t>
      </w:r>
      <w:r w:rsidRPr="009F753F">
        <w:rPr>
          <w:i/>
          <w:iCs/>
        </w:rPr>
        <w:t>+ T</w:t>
      </w:r>
    </w:p>
    <w:p w:rsidR="009F753F" w:rsidRPr="009F753F" w:rsidRDefault="009F753F" w:rsidP="009F753F">
      <w:pPr>
        <w:widowControl w:val="0"/>
        <w:shd w:val="clear" w:color="auto" w:fill="FFFFFF"/>
        <w:jc w:val="both"/>
      </w:pPr>
      <w:r w:rsidRPr="009F753F">
        <w:t>2. Pasiūlymo kainos (C) balai apskaičiuojami mažiausios pasiūlytos kainos (</w:t>
      </w:r>
      <w:proofErr w:type="spellStart"/>
      <w:r w:rsidRPr="009F753F">
        <w:t>C</w:t>
      </w:r>
      <w:r w:rsidRPr="009F753F">
        <w:rPr>
          <w:vertAlign w:val="subscript"/>
        </w:rPr>
        <w:t>min</w:t>
      </w:r>
      <w:proofErr w:type="spellEnd"/>
      <w:r w:rsidRPr="009F753F">
        <w:t>) ir vertinamo pasiūlymo kainos (</w:t>
      </w:r>
      <w:proofErr w:type="spellStart"/>
      <w:r w:rsidRPr="009F753F">
        <w:t>C</w:t>
      </w:r>
      <w:r w:rsidRPr="009F753F">
        <w:rPr>
          <w:vertAlign w:val="subscript"/>
        </w:rPr>
        <w:t>v</w:t>
      </w:r>
      <w:proofErr w:type="spellEnd"/>
      <w:r w:rsidRPr="009F753F">
        <w:t>) santykį padauginant iš kainos lyginamojo svorio (X):</w:t>
      </w:r>
    </w:p>
    <w:p w:rsidR="009F753F" w:rsidRPr="009F753F" w:rsidRDefault="009F753F" w:rsidP="009F753F">
      <w:pPr>
        <w:jc w:val="center"/>
        <w:rPr>
          <w:rFonts w:eastAsia="Cambria Math"/>
        </w:rPr>
      </w:pPr>
      <m:oMathPara>
        <m:oMath>
          <m:r>
            <w:rPr>
              <w:rFonts w:ascii="Cambria Math" w:eastAsia="Cambria Math" w:hAnsi="Cambria Math"/>
            </w:rPr>
            <m:t>C=</m:t>
          </m:r>
          <m:f>
            <m:fPr>
              <m:ctrlPr>
                <w:rPr>
                  <w:rFonts w:ascii="Cambria Math" w:eastAsia="Cambria Math" w:hAnsi="Cambria Math"/>
                  <w:lang w:eastAsia="en-US"/>
                </w:rPr>
              </m:ctrlPr>
            </m:fPr>
            <m:num>
              <m:sSub>
                <m:sSubPr>
                  <m:ctrlPr>
                    <w:rPr>
                      <w:rFonts w:ascii="Cambria Math" w:eastAsia="Cambria Math" w:hAnsi="Cambria Math"/>
                      <w:lang w:eastAsia="en-US"/>
                    </w:rPr>
                  </m:ctrlPr>
                </m:sSubPr>
                <m:e>
                  <m:r>
                    <w:rPr>
                      <w:rFonts w:ascii="Cambria Math" w:eastAsia="Cambria Math" w:hAnsi="Cambria Math"/>
                    </w:rPr>
                    <m:t>C</m:t>
                  </m:r>
                </m:e>
                <m:sub>
                  <m:r>
                    <w:rPr>
                      <w:rFonts w:ascii="Cambria Math" w:eastAsia="Cambria Math" w:hAnsi="Cambria Math"/>
                    </w:rPr>
                    <m:t>min</m:t>
                  </m:r>
                </m:sub>
              </m:sSub>
            </m:num>
            <m:den>
              <m:sSub>
                <m:sSubPr>
                  <m:ctrlPr>
                    <w:rPr>
                      <w:rFonts w:ascii="Cambria Math" w:eastAsia="Cambria Math" w:hAnsi="Cambria Math"/>
                      <w:lang w:eastAsia="en-US"/>
                    </w:rPr>
                  </m:ctrlPr>
                </m:sSubPr>
                <m:e>
                  <m:r>
                    <w:rPr>
                      <w:rFonts w:ascii="Cambria Math" w:eastAsia="Cambria Math" w:hAnsi="Cambria Math"/>
                    </w:rPr>
                    <m:t>C</m:t>
                  </m:r>
                </m:e>
                <m:sub>
                  <m:r>
                    <w:rPr>
                      <w:rFonts w:ascii="Cambria Math" w:eastAsia="Cambria Math" w:hAnsi="Cambria Math"/>
                    </w:rPr>
                    <m:t>v</m:t>
                  </m:r>
                </m:sub>
              </m:sSub>
            </m:den>
          </m:f>
          <m:r>
            <w:rPr>
              <w:rFonts w:ascii="Cambria Math" w:eastAsia="Cambria Math" w:hAnsi="Cambria Math"/>
            </w:rPr>
            <m:t xml:space="preserve"> ×X</m:t>
          </m:r>
        </m:oMath>
      </m:oMathPara>
    </w:p>
    <w:p w:rsidR="009F753F" w:rsidRPr="009F753F" w:rsidRDefault="009F753F" w:rsidP="009F753F">
      <w:pPr>
        <w:tabs>
          <w:tab w:val="left" w:pos="1134"/>
        </w:tabs>
        <w:suppressAutoHyphens/>
        <w:ind w:firstLine="851"/>
        <w:jc w:val="both"/>
        <w:rPr>
          <w:rFonts w:eastAsia="Calibri"/>
        </w:rPr>
      </w:pPr>
      <w:r w:rsidRPr="009F753F">
        <w:t>Kadangi siūlomo objekto techniniai pranašumai įvertinami dviem skirtingais vertinimo būdais, todėl parametrų įvertinimas apskaičiuojamas skirtingais metodais:</w:t>
      </w:r>
    </w:p>
    <w:p w:rsidR="009F753F" w:rsidRPr="009F753F" w:rsidRDefault="009F753F" w:rsidP="009F753F">
      <w:pPr>
        <w:tabs>
          <w:tab w:val="left" w:pos="1560"/>
        </w:tabs>
        <w:suppressAutoHyphens/>
        <w:ind w:firstLine="851"/>
        <w:jc w:val="both"/>
      </w:pPr>
      <w:r w:rsidRPr="009F753F">
        <w:t>Siūlomo objekto T</w:t>
      </w:r>
      <w:r w:rsidRPr="009F753F">
        <w:rPr>
          <w:vertAlign w:val="subscript"/>
        </w:rPr>
        <w:t xml:space="preserve">1, </w:t>
      </w:r>
      <w:r w:rsidRPr="009F753F">
        <w:t>T</w:t>
      </w:r>
      <w:r w:rsidRPr="009F753F">
        <w:rPr>
          <w:vertAlign w:val="subscript"/>
        </w:rPr>
        <w:t>2</w:t>
      </w:r>
      <w:r w:rsidRPr="009F753F">
        <w:t xml:space="preserve"> techniniai parametrai aprašomi palyginamuoju interpoliaciniu vertinimo būdu, todėl parametro įvertinimas apskaičiuojamas pagal metodiką:</w:t>
      </w:r>
    </w:p>
    <w:p w:rsidR="009F753F" w:rsidRPr="009F753F" w:rsidRDefault="009F753F" w:rsidP="009F753F">
      <w:pPr>
        <w:pStyle w:val="Sraopastraipa"/>
        <w:numPr>
          <w:ilvl w:val="0"/>
          <w:numId w:val="2"/>
        </w:numPr>
        <w:tabs>
          <w:tab w:val="left" w:pos="1134"/>
        </w:tabs>
        <w:suppressAutoHyphens/>
        <w:ind w:left="0" w:firstLine="851"/>
        <w:jc w:val="both"/>
        <w:rPr>
          <w:rFonts w:ascii="Times New Roman" w:eastAsia="Arial Unicode MS" w:hAnsi="Times New Roman" w:cs="Times New Roman"/>
          <w:szCs w:val="24"/>
          <w:bdr w:val="none" w:sz="0" w:space="0" w:color="auto" w:frame="1"/>
        </w:rPr>
      </w:pPr>
      <w:r w:rsidRPr="009F753F">
        <w:rPr>
          <w:rFonts w:ascii="Times New Roman" w:eastAsia="Arial Unicode MS" w:hAnsi="Times New Roman" w:cs="Times New Roman"/>
          <w:szCs w:val="24"/>
          <w:bdr w:val="none" w:sz="0" w:space="0" w:color="auto" w:frame="1"/>
        </w:rPr>
        <w:t>Jei siūlomas objektas turi parametro T</w:t>
      </w:r>
      <w:r w:rsidRPr="009F753F">
        <w:rPr>
          <w:rFonts w:ascii="Times New Roman" w:eastAsia="Arial Unicode MS" w:hAnsi="Times New Roman" w:cs="Times New Roman"/>
          <w:szCs w:val="24"/>
          <w:bdr w:val="none" w:sz="0" w:space="0" w:color="auto" w:frame="1"/>
          <w:vertAlign w:val="subscript"/>
        </w:rPr>
        <w:t xml:space="preserve">1, </w:t>
      </w:r>
      <w:r w:rsidRPr="009F753F">
        <w:rPr>
          <w:rFonts w:ascii="Times New Roman" w:hAnsi="Times New Roman" w:cs="Times New Roman"/>
          <w:szCs w:val="24"/>
        </w:rPr>
        <w:t>T</w:t>
      </w:r>
      <w:r w:rsidRPr="009F753F">
        <w:rPr>
          <w:rFonts w:ascii="Times New Roman" w:hAnsi="Times New Roman" w:cs="Times New Roman"/>
          <w:szCs w:val="24"/>
          <w:vertAlign w:val="subscript"/>
        </w:rPr>
        <w:t>2</w:t>
      </w:r>
      <w:r w:rsidRPr="009F753F">
        <w:rPr>
          <w:rFonts w:ascii="Times New Roman" w:eastAsia="Arial Unicode MS" w:hAnsi="Times New Roman" w:cs="Times New Roman"/>
          <w:szCs w:val="24"/>
          <w:bdr w:val="none" w:sz="0" w:space="0" w:color="auto" w:frame="1"/>
        </w:rPr>
        <w:t xml:space="preserve"> didžiausią skaitinę vertę (</w:t>
      </w:r>
      <w:proofErr w:type="spellStart"/>
      <w:r w:rsidRPr="009F753F">
        <w:rPr>
          <w:rFonts w:ascii="Times New Roman" w:eastAsia="Arial Unicode MS" w:hAnsi="Times New Roman" w:cs="Times New Roman"/>
          <w:szCs w:val="24"/>
          <w:bdr w:val="none" w:sz="0" w:space="0" w:color="auto" w:frame="1"/>
        </w:rPr>
        <w:t>T</w:t>
      </w:r>
      <w:r w:rsidRPr="009F753F">
        <w:rPr>
          <w:rFonts w:ascii="Times New Roman" w:eastAsia="Arial Unicode MS" w:hAnsi="Times New Roman" w:cs="Times New Roman"/>
          <w:szCs w:val="24"/>
          <w:bdr w:val="none" w:sz="0" w:space="0" w:color="auto" w:frame="1"/>
          <w:vertAlign w:val="subscript"/>
        </w:rPr>
        <w:t>max</w:t>
      </w:r>
      <w:proofErr w:type="spellEnd"/>
      <w:r w:rsidRPr="009F753F">
        <w:rPr>
          <w:rFonts w:ascii="Times New Roman" w:eastAsia="Arial Unicode MS" w:hAnsi="Times New Roman" w:cs="Times New Roman"/>
          <w:szCs w:val="24"/>
          <w:bdr w:val="none" w:sz="0" w:space="0" w:color="auto" w:frame="1"/>
        </w:rPr>
        <w:t>)</w:t>
      </w:r>
      <w:r>
        <w:rPr>
          <w:rFonts w:ascii="Times New Roman" w:eastAsia="Arial Unicode MS" w:hAnsi="Times New Roman" w:cs="Times New Roman"/>
          <w:szCs w:val="24"/>
          <w:bdr w:val="none" w:sz="0" w:space="0" w:color="auto" w:frame="1"/>
        </w:rPr>
        <w:t>,</w:t>
      </w:r>
      <w:r w:rsidRPr="009F753F">
        <w:rPr>
          <w:rFonts w:ascii="Times New Roman" w:eastAsia="Arial Unicode MS" w:hAnsi="Times New Roman" w:cs="Times New Roman"/>
          <w:szCs w:val="24"/>
          <w:bdr w:val="none" w:sz="0" w:space="0" w:color="auto" w:frame="1"/>
        </w:rPr>
        <w:t xml:space="preserve"> gauna maksimalų balų skaičių pagal lyginamąjį svorį: </w:t>
      </w:r>
      <w:proofErr w:type="spellStart"/>
      <w:r w:rsidRPr="009F753F">
        <w:rPr>
          <w:rFonts w:ascii="Times New Roman" w:eastAsia="Arial Unicode MS" w:hAnsi="Times New Roman" w:cs="Times New Roman"/>
          <w:szCs w:val="24"/>
          <w:bdr w:val="none" w:sz="0" w:space="0" w:color="auto" w:frame="1"/>
        </w:rPr>
        <w:t>T</w:t>
      </w:r>
      <w:r w:rsidRPr="009F753F">
        <w:rPr>
          <w:rFonts w:ascii="Times New Roman" w:eastAsia="Arial Unicode MS" w:hAnsi="Times New Roman" w:cs="Times New Roman"/>
          <w:szCs w:val="24"/>
          <w:bdr w:val="none" w:sz="0" w:space="0" w:color="auto" w:frame="1"/>
          <w:vertAlign w:val="subscript"/>
        </w:rPr>
        <w:t>i</w:t>
      </w:r>
      <w:proofErr w:type="spellEnd"/>
      <w:r w:rsidRPr="009F753F">
        <w:rPr>
          <w:rFonts w:ascii="Times New Roman" w:eastAsia="Arial Unicode MS" w:hAnsi="Times New Roman" w:cs="Times New Roman"/>
          <w:szCs w:val="24"/>
          <w:bdr w:val="none" w:sz="0" w:space="0" w:color="auto" w:frame="1"/>
        </w:rPr>
        <w:t xml:space="preserve"> = </w:t>
      </w:r>
      <w:proofErr w:type="spellStart"/>
      <w:r w:rsidRPr="009F753F">
        <w:rPr>
          <w:rFonts w:ascii="Times New Roman" w:eastAsia="Arial Unicode MS" w:hAnsi="Times New Roman" w:cs="Times New Roman"/>
          <w:szCs w:val="24"/>
          <w:bdr w:val="none" w:sz="0" w:space="0" w:color="auto" w:frame="1"/>
        </w:rPr>
        <w:t>L</w:t>
      </w:r>
      <w:r w:rsidRPr="009F753F">
        <w:rPr>
          <w:rFonts w:ascii="Times New Roman" w:eastAsia="Arial Unicode MS" w:hAnsi="Times New Roman" w:cs="Times New Roman"/>
          <w:szCs w:val="24"/>
          <w:bdr w:val="none" w:sz="0" w:space="0" w:color="auto" w:frame="1"/>
          <w:vertAlign w:val="subscript"/>
        </w:rPr>
        <w:t>i</w:t>
      </w:r>
      <w:proofErr w:type="spellEnd"/>
      <w:r w:rsidRPr="009F753F">
        <w:rPr>
          <w:rFonts w:ascii="Times New Roman" w:eastAsia="Arial Unicode MS" w:hAnsi="Times New Roman" w:cs="Times New Roman"/>
          <w:szCs w:val="24"/>
          <w:bdr w:val="none" w:sz="0" w:space="0" w:color="auto" w:frame="1"/>
        </w:rPr>
        <w:t>. Mažiausią parametro T</w:t>
      </w:r>
      <w:r w:rsidRPr="009F753F">
        <w:rPr>
          <w:rFonts w:ascii="Times New Roman" w:eastAsia="Arial Unicode MS" w:hAnsi="Times New Roman" w:cs="Times New Roman"/>
          <w:szCs w:val="24"/>
          <w:bdr w:val="none" w:sz="0" w:space="0" w:color="auto" w:frame="1"/>
          <w:vertAlign w:val="subscript"/>
        </w:rPr>
        <w:t xml:space="preserve">1, </w:t>
      </w:r>
      <w:r w:rsidRPr="009F753F">
        <w:rPr>
          <w:rFonts w:ascii="Times New Roman" w:hAnsi="Times New Roman" w:cs="Times New Roman"/>
          <w:szCs w:val="24"/>
        </w:rPr>
        <w:t>T</w:t>
      </w:r>
      <w:r w:rsidRPr="009F753F">
        <w:rPr>
          <w:rFonts w:ascii="Times New Roman" w:hAnsi="Times New Roman" w:cs="Times New Roman"/>
          <w:szCs w:val="24"/>
          <w:vertAlign w:val="subscript"/>
        </w:rPr>
        <w:t>2</w:t>
      </w:r>
      <w:r w:rsidRPr="009F753F">
        <w:rPr>
          <w:rFonts w:ascii="Times New Roman" w:eastAsia="Arial Unicode MS" w:hAnsi="Times New Roman" w:cs="Times New Roman"/>
          <w:szCs w:val="24"/>
          <w:bdr w:val="none" w:sz="0" w:space="0" w:color="auto" w:frame="1"/>
        </w:rPr>
        <w:t xml:space="preserve"> skaitinę vertę (</w:t>
      </w:r>
      <w:proofErr w:type="spellStart"/>
      <w:r w:rsidRPr="009F753F">
        <w:rPr>
          <w:rFonts w:ascii="Times New Roman" w:eastAsia="Arial Unicode MS" w:hAnsi="Times New Roman" w:cs="Times New Roman"/>
          <w:szCs w:val="24"/>
          <w:bdr w:val="none" w:sz="0" w:space="0" w:color="auto" w:frame="1"/>
        </w:rPr>
        <w:t>T</w:t>
      </w:r>
      <w:r w:rsidRPr="009F753F">
        <w:rPr>
          <w:rFonts w:ascii="Times New Roman" w:eastAsia="Arial Unicode MS" w:hAnsi="Times New Roman" w:cs="Times New Roman"/>
          <w:szCs w:val="24"/>
          <w:bdr w:val="none" w:sz="0" w:space="0" w:color="auto" w:frame="1"/>
          <w:vertAlign w:val="subscript"/>
        </w:rPr>
        <w:t>min</w:t>
      </w:r>
      <w:proofErr w:type="spellEnd"/>
      <w:r w:rsidRPr="009F753F">
        <w:rPr>
          <w:rFonts w:ascii="Times New Roman" w:eastAsia="Arial Unicode MS" w:hAnsi="Times New Roman" w:cs="Times New Roman"/>
          <w:szCs w:val="24"/>
          <w:bdr w:val="none" w:sz="0" w:space="0" w:color="auto" w:frame="1"/>
        </w:rPr>
        <w:t>) turintis objektas gauna 0 balų: T</w:t>
      </w:r>
      <w:r w:rsidRPr="009F753F">
        <w:rPr>
          <w:rFonts w:ascii="Times New Roman" w:eastAsia="Arial Unicode MS" w:hAnsi="Times New Roman" w:cs="Times New Roman"/>
          <w:szCs w:val="24"/>
          <w:bdr w:val="none" w:sz="0" w:space="0" w:color="auto" w:frame="1"/>
          <w:vertAlign w:val="subscript"/>
        </w:rPr>
        <w:t>1</w:t>
      </w:r>
      <w:r w:rsidRPr="009F753F">
        <w:rPr>
          <w:rFonts w:ascii="Times New Roman" w:eastAsia="Arial Unicode MS" w:hAnsi="Times New Roman" w:cs="Times New Roman"/>
          <w:szCs w:val="24"/>
          <w:bdr w:val="none" w:sz="0" w:space="0" w:color="auto" w:frame="1"/>
        </w:rPr>
        <w:t xml:space="preserve"> = L</w:t>
      </w:r>
      <w:r w:rsidRPr="009F753F">
        <w:rPr>
          <w:rFonts w:ascii="Times New Roman" w:eastAsia="Arial Unicode MS" w:hAnsi="Times New Roman" w:cs="Times New Roman"/>
          <w:szCs w:val="24"/>
          <w:bdr w:val="none" w:sz="0" w:space="0" w:color="auto" w:frame="1"/>
          <w:vertAlign w:val="subscript"/>
        </w:rPr>
        <w:t>1</w:t>
      </w:r>
      <w:r w:rsidRPr="009F753F">
        <w:rPr>
          <w:rFonts w:ascii="Times New Roman" w:eastAsia="Arial Unicode MS" w:hAnsi="Times New Roman" w:cs="Times New Roman"/>
          <w:szCs w:val="24"/>
          <w:bdr w:val="none" w:sz="0" w:space="0" w:color="auto" w:frame="1"/>
        </w:rPr>
        <w:t xml:space="preserve"> = 0, T</w:t>
      </w:r>
      <w:r w:rsidRPr="009F753F">
        <w:rPr>
          <w:rFonts w:ascii="Times New Roman" w:eastAsia="Arial Unicode MS" w:hAnsi="Times New Roman" w:cs="Times New Roman"/>
          <w:szCs w:val="24"/>
          <w:bdr w:val="none" w:sz="0" w:space="0" w:color="auto" w:frame="1"/>
          <w:vertAlign w:val="subscript"/>
        </w:rPr>
        <w:t>2</w:t>
      </w:r>
      <w:r w:rsidRPr="009F753F">
        <w:rPr>
          <w:rFonts w:ascii="Times New Roman" w:eastAsia="Arial Unicode MS" w:hAnsi="Times New Roman" w:cs="Times New Roman"/>
          <w:szCs w:val="24"/>
          <w:bdr w:val="none" w:sz="0" w:space="0" w:color="auto" w:frame="1"/>
        </w:rPr>
        <w:t xml:space="preserve"> = L</w:t>
      </w:r>
      <w:r w:rsidRPr="009F753F">
        <w:rPr>
          <w:rFonts w:ascii="Times New Roman" w:eastAsia="Arial Unicode MS" w:hAnsi="Times New Roman" w:cs="Times New Roman"/>
          <w:szCs w:val="24"/>
          <w:bdr w:val="none" w:sz="0" w:space="0" w:color="auto" w:frame="1"/>
          <w:vertAlign w:val="subscript"/>
        </w:rPr>
        <w:t>2</w:t>
      </w:r>
      <w:r w:rsidRPr="009F753F">
        <w:rPr>
          <w:rFonts w:ascii="Times New Roman" w:eastAsia="Arial Unicode MS" w:hAnsi="Times New Roman" w:cs="Times New Roman"/>
          <w:szCs w:val="24"/>
          <w:bdr w:val="none" w:sz="0" w:space="0" w:color="auto" w:frame="1"/>
        </w:rPr>
        <w:t xml:space="preserve"> = 0. </w:t>
      </w:r>
    </w:p>
    <w:p w:rsidR="009F753F" w:rsidRPr="009F753F" w:rsidRDefault="009F753F" w:rsidP="009F753F">
      <w:pPr>
        <w:pStyle w:val="Sraopastraipa"/>
        <w:numPr>
          <w:ilvl w:val="0"/>
          <w:numId w:val="2"/>
        </w:numPr>
        <w:tabs>
          <w:tab w:val="left" w:pos="1134"/>
        </w:tabs>
        <w:suppressAutoHyphens/>
        <w:ind w:left="0" w:firstLine="851"/>
        <w:jc w:val="both"/>
        <w:rPr>
          <w:rFonts w:ascii="Times New Roman" w:eastAsia="Arial Unicode MS" w:hAnsi="Times New Roman" w:cs="Times New Roman"/>
          <w:szCs w:val="24"/>
          <w:bdr w:val="none" w:sz="0" w:space="0" w:color="auto" w:frame="1"/>
        </w:rPr>
      </w:pPr>
      <w:r w:rsidRPr="009F753F">
        <w:rPr>
          <w:rFonts w:ascii="Times New Roman" w:eastAsia="Arial Unicode MS" w:hAnsi="Times New Roman" w:cs="Times New Roman"/>
          <w:szCs w:val="24"/>
          <w:bdr w:val="none" w:sz="0" w:space="0" w:color="auto" w:frame="1"/>
        </w:rPr>
        <w:t>Visais kitais atvejais vertinamo objekto (T</w:t>
      </w:r>
      <w:r w:rsidRPr="009F753F">
        <w:rPr>
          <w:rFonts w:ascii="Times New Roman" w:eastAsia="Arial Unicode MS" w:hAnsi="Times New Roman" w:cs="Times New Roman"/>
          <w:szCs w:val="24"/>
          <w:bdr w:val="none" w:sz="0" w:space="0" w:color="auto" w:frame="1"/>
          <w:vertAlign w:val="subscript"/>
        </w:rPr>
        <w:t>v</w:t>
      </w:r>
      <w:r w:rsidRPr="009F753F">
        <w:rPr>
          <w:rFonts w:ascii="Times New Roman" w:eastAsia="Arial Unicode MS" w:hAnsi="Times New Roman" w:cs="Times New Roman"/>
          <w:szCs w:val="24"/>
          <w:bdr w:val="none" w:sz="0" w:space="0" w:color="auto" w:frame="1"/>
        </w:rPr>
        <w:t>) parametro įvertinimas skaičiuojamas pagal formulę:</w:t>
      </w:r>
    </w:p>
    <w:p w:rsidR="009F753F" w:rsidRPr="009F753F" w:rsidRDefault="009F753F" w:rsidP="009F753F">
      <w:pPr>
        <w:tabs>
          <w:tab w:val="left" w:pos="4815"/>
        </w:tabs>
        <w:suppressAutoHyphens/>
        <w:ind w:firstLine="851"/>
        <w:jc w:val="both"/>
        <w:rPr>
          <w:rFonts w:eastAsia="Calibri"/>
        </w:rPr>
      </w:pPr>
      <w:r w:rsidRPr="009F753F">
        <w:rPr>
          <w:rFonts w:eastAsia="Calibri"/>
        </w:rPr>
        <w:lastRenderedPageBreak/>
        <w:tab/>
      </w:r>
    </w:p>
    <w:p w:rsidR="009F753F" w:rsidRPr="009F753F" w:rsidRDefault="000E2425" w:rsidP="009F753F">
      <w:pPr>
        <w:tabs>
          <w:tab w:val="left" w:pos="1134"/>
        </w:tabs>
        <w:suppressAutoHyphens/>
        <w:ind w:firstLine="851"/>
        <w:jc w:val="both"/>
      </w:pPr>
      <m:oMathPara>
        <m:oMath>
          <m:sSub>
            <m:sSubPr>
              <m:ctrlPr>
                <w:rPr>
                  <w:rFonts w:ascii="Cambria Math" w:eastAsia="Calibri" w:hAnsi="Cambria Math"/>
                  <w:i/>
                  <w:lang w:eastAsia="en-US"/>
                </w:rPr>
              </m:ctrlPr>
            </m:sSubPr>
            <m:e>
              <m:r>
                <w:rPr>
                  <w:rFonts w:ascii="Cambria Math" w:hAnsi="Cambria Math"/>
                </w:rPr>
                <m:t>T</m:t>
              </m:r>
            </m:e>
            <m:sub>
              <m:r>
                <w:rPr>
                  <w:rFonts w:ascii="Cambria Math" w:hAnsi="Cambria Math"/>
                </w:rPr>
                <m:t>i</m:t>
              </m:r>
            </m:sub>
          </m:sSub>
          <m:r>
            <w:rPr>
              <w:rFonts w:ascii="Cambria Math" w:hAnsi="Cambria Math"/>
            </w:rPr>
            <m:t>=</m:t>
          </m:r>
          <m:f>
            <m:fPr>
              <m:ctrlPr>
                <w:rPr>
                  <w:rFonts w:ascii="Cambria Math" w:eastAsia="Calibri" w:hAnsi="Cambria Math"/>
                  <w:lang w:eastAsia="en-US"/>
                </w:rPr>
              </m:ctrlPr>
            </m:fPr>
            <m:num>
              <m:sSub>
                <m:sSubPr>
                  <m:ctrlPr>
                    <w:rPr>
                      <w:rFonts w:ascii="Cambria Math" w:eastAsia="Calibri" w:hAnsi="Cambria Math"/>
                      <w:i/>
                      <w:lang w:eastAsia="en-US"/>
                    </w:rPr>
                  </m:ctrlPr>
                </m:sSubPr>
                <m:e>
                  <m:r>
                    <w:rPr>
                      <w:rFonts w:ascii="Cambria Math" w:hAnsi="Cambria Math"/>
                    </w:rPr>
                    <m:t>T</m:t>
                  </m:r>
                </m:e>
                <m:sub>
                  <m:r>
                    <w:rPr>
                      <w:rFonts w:ascii="Cambria Math" w:hAnsi="Cambria Math"/>
                    </w:rPr>
                    <m:t>v</m:t>
                  </m:r>
                </m:sub>
              </m:sSub>
              <m:r>
                <w:rPr>
                  <w:rFonts w:ascii="Cambria Math" w:hAnsi="Cambria Math"/>
                </w:rPr>
                <m:t>-</m:t>
              </m:r>
              <m:sSub>
                <m:sSubPr>
                  <m:ctrlPr>
                    <w:rPr>
                      <w:rFonts w:ascii="Cambria Math" w:eastAsia="Calibri" w:hAnsi="Cambria Math"/>
                      <w:i/>
                      <w:lang w:eastAsia="en-US"/>
                    </w:rPr>
                  </m:ctrlPr>
                </m:sSubPr>
                <m:e>
                  <m:r>
                    <w:rPr>
                      <w:rFonts w:ascii="Cambria Math" w:hAnsi="Cambria Math"/>
                    </w:rPr>
                    <m:t>T</m:t>
                  </m:r>
                </m:e>
                <m:sub>
                  <m:r>
                    <w:rPr>
                      <w:rFonts w:ascii="Cambria Math" w:hAnsi="Cambria Math"/>
                    </w:rPr>
                    <m:t>min</m:t>
                  </m:r>
                </m:sub>
              </m:sSub>
            </m:num>
            <m:den>
              <m:sSub>
                <m:sSubPr>
                  <m:ctrlPr>
                    <w:rPr>
                      <w:rFonts w:ascii="Cambria Math" w:eastAsia="Calibri" w:hAnsi="Cambria Math"/>
                      <w:i/>
                      <w:lang w:eastAsia="en-US"/>
                    </w:rPr>
                  </m:ctrlPr>
                </m:sSubPr>
                <m:e>
                  <m:r>
                    <w:rPr>
                      <w:rFonts w:ascii="Cambria Math" w:hAnsi="Cambria Math"/>
                    </w:rPr>
                    <m:t>T</m:t>
                  </m:r>
                </m:e>
                <m:sub>
                  <m:r>
                    <w:rPr>
                      <w:rFonts w:ascii="Cambria Math" w:hAnsi="Cambria Math"/>
                    </w:rPr>
                    <m:t>max</m:t>
                  </m:r>
                </m:sub>
              </m:sSub>
              <m:r>
                <w:rPr>
                  <w:rFonts w:ascii="Cambria Math" w:hAnsi="Cambria Math"/>
                </w:rPr>
                <m:t xml:space="preserve">- </m:t>
              </m:r>
              <m:sSub>
                <m:sSubPr>
                  <m:ctrlPr>
                    <w:rPr>
                      <w:rFonts w:ascii="Cambria Math" w:eastAsia="Calibri" w:hAnsi="Cambria Math"/>
                      <w:i/>
                      <w:lang w:eastAsia="en-US"/>
                    </w:rPr>
                  </m:ctrlPr>
                </m:sSubPr>
                <m:e>
                  <m:r>
                    <w:rPr>
                      <w:rFonts w:ascii="Cambria Math" w:hAnsi="Cambria Math"/>
                    </w:rPr>
                    <m:t>T</m:t>
                  </m:r>
                </m:e>
                <m:sub>
                  <m:r>
                    <w:rPr>
                      <w:rFonts w:ascii="Cambria Math" w:hAnsi="Cambria Math"/>
                    </w:rPr>
                    <m:t>min</m:t>
                  </m:r>
                </m:sub>
              </m:sSub>
            </m:den>
          </m:f>
          <m:r>
            <w:rPr>
              <w:rFonts w:ascii="Cambria Math" w:hAnsi="Cambria Math"/>
            </w:rPr>
            <m:t xml:space="preserve"> ×</m:t>
          </m:r>
          <m:sSub>
            <m:sSubPr>
              <m:ctrlPr>
                <w:rPr>
                  <w:rFonts w:ascii="Cambria Math" w:eastAsia="Calibri" w:hAnsi="Cambria Math"/>
                  <w:i/>
                  <w:lang w:eastAsia="en-US"/>
                </w:rPr>
              </m:ctrlPr>
            </m:sSubPr>
            <m:e>
              <m:r>
                <w:rPr>
                  <w:rFonts w:ascii="Cambria Math" w:hAnsi="Cambria Math"/>
                </w:rPr>
                <m:t>L</m:t>
              </m:r>
            </m:e>
            <m:sub>
              <m:r>
                <w:rPr>
                  <w:rFonts w:ascii="Cambria Math" w:hAnsi="Cambria Math"/>
                </w:rPr>
                <m:t>i</m:t>
              </m:r>
            </m:sub>
          </m:sSub>
          <m:r>
            <w:rPr>
              <w:rFonts w:ascii="Cambria Math" w:hAnsi="Cambria Math"/>
            </w:rPr>
            <m:t>.</m:t>
          </m:r>
        </m:oMath>
      </m:oMathPara>
    </w:p>
    <w:p w:rsidR="009F753F" w:rsidRPr="009F753F" w:rsidRDefault="009F753F" w:rsidP="009F753F">
      <w:pPr>
        <w:tabs>
          <w:tab w:val="left" w:pos="1134"/>
        </w:tabs>
        <w:suppressAutoHyphens/>
        <w:ind w:firstLine="851"/>
        <w:jc w:val="both"/>
      </w:pPr>
    </w:p>
    <w:p w:rsidR="009F753F" w:rsidRPr="009F753F" w:rsidRDefault="009F753F" w:rsidP="009F753F">
      <w:pPr>
        <w:tabs>
          <w:tab w:val="left" w:pos="1560"/>
        </w:tabs>
        <w:suppressAutoHyphens/>
        <w:ind w:firstLine="851"/>
        <w:jc w:val="both"/>
      </w:pPr>
      <w:r w:rsidRPr="009F753F">
        <w:rPr>
          <w:color w:val="000000" w:themeColor="text1"/>
          <w:bdr w:val="none" w:sz="0" w:space="0" w:color="auto" w:frame="1"/>
        </w:rPr>
        <w:t>Siūlomo objekto T</w:t>
      </w:r>
      <w:r w:rsidRPr="009F753F">
        <w:rPr>
          <w:color w:val="000000" w:themeColor="text1"/>
          <w:bdr w:val="none" w:sz="0" w:space="0" w:color="auto" w:frame="1"/>
          <w:vertAlign w:val="subscript"/>
        </w:rPr>
        <w:t>3</w:t>
      </w:r>
      <w:r w:rsidRPr="009F753F">
        <w:rPr>
          <w:color w:val="000000" w:themeColor="text1"/>
          <w:bdr w:val="none" w:sz="0" w:space="0" w:color="auto" w:frame="1"/>
        </w:rPr>
        <w:t>, techniniai parametrai aprašomi statiniu vertinimo būdu ir neturi skaitinių išraiškų (yra arba nėra), todėl parametro įvertinimas apskaičiuojamas pagal formulę:</w:t>
      </w:r>
    </w:p>
    <w:p w:rsidR="009F753F" w:rsidRPr="009F753F" w:rsidRDefault="009F753F" w:rsidP="009F753F">
      <w:pPr>
        <w:pStyle w:val="Sraopastraipa"/>
        <w:numPr>
          <w:ilvl w:val="0"/>
          <w:numId w:val="3"/>
        </w:numPr>
        <w:tabs>
          <w:tab w:val="left" w:pos="851"/>
          <w:tab w:val="left" w:pos="1134"/>
          <w:tab w:val="left" w:pos="2268"/>
        </w:tabs>
        <w:suppressAutoHyphens/>
        <w:ind w:left="0" w:firstLine="851"/>
        <w:jc w:val="both"/>
        <w:rPr>
          <w:rFonts w:ascii="Times New Roman" w:eastAsia="Arial Unicode MS" w:hAnsi="Times New Roman" w:cs="Times New Roman"/>
          <w:szCs w:val="24"/>
          <w:bdr w:val="none" w:sz="0" w:space="0" w:color="auto" w:frame="1"/>
        </w:rPr>
      </w:pPr>
      <w:r w:rsidRPr="009F753F">
        <w:rPr>
          <w:rFonts w:ascii="Times New Roman" w:hAnsi="Times New Roman" w:cs="Times New Roman"/>
          <w:color w:val="000000" w:themeColor="text1"/>
          <w:szCs w:val="24"/>
          <w:bdr w:val="none" w:sz="0" w:space="0" w:color="auto" w:frame="1"/>
        </w:rPr>
        <w:t>Jei siūlomas objektas turi nurodytą pranašumą: T</w:t>
      </w:r>
      <w:r w:rsidRPr="009F753F">
        <w:rPr>
          <w:rFonts w:ascii="Times New Roman" w:hAnsi="Times New Roman" w:cs="Times New Roman"/>
          <w:color w:val="000000" w:themeColor="text1"/>
          <w:szCs w:val="24"/>
          <w:bdr w:val="none" w:sz="0" w:space="0" w:color="auto" w:frame="1"/>
          <w:vertAlign w:val="subscript"/>
        </w:rPr>
        <w:t>3</w:t>
      </w:r>
      <w:r w:rsidRPr="009F753F">
        <w:rPr>
          <w:rFonts w:ascii="Times New Roman" w:hAnsi="Times New Roman" w:cs="Times New Roman"/>
          <w:color w:val="000000" w:themeColor="text1"/>
          <w:szCs w:val="24"/>
          <w:bdr w:val="none" w:sz="0" w:space="0" w:color="auto" w:frame="1"/>
        </w:rPr>
        <w:t xml:space="preserve"> = L</w:t>
      </w:r>
      <w:r w:rsidRPr="009F753F">
        <w:rPr>
          <w:rFonts w:ascii="Times New Roman" w:hAnsi="Times New Roman" w:cs="Times New Roman"/>
          <w:color w:val="000000" w:themeColor="text1"/>
          <w:szCs w:val="24"/>
          <w:bdr w:val="none" w:sz="0" w:space="0" w:color="auto" w:frame="1"/>
          <w:vertAlign w:val="subscript"/>
        </w:rPr>
        <w:t xml:space="preserve">3 </w:t>
      </w:r>
      <w:r>
        <w:rPr>
          <w:rFonts w:ascii="Times New Roman" w:hAnsi="Times New Roman" w:cs="Times New Roman"/>
          <w:color w:val="000000" w:themeColor="text1"/>
          <w:szCs w:val="24"/>
          <w:bdr w:val="none" w:sz="0" w:space="0" w:color="auto" w:frame="1"/>
        </w:rPr>
        <w:t>= 0,3.</w:t>
      </w:r>
    </w:p>
    <w:p w:rsidR="009F753F" w:rsidRPr="009F753F" w:rsidRDefault="009F753F" w:rsidP="009F753F">
      <w:pPr>
        <w:pStyle w:val="Sraopastraipa"/>
        <w:numPr>
          <w:ilvl w:val="0"/>
          <w:numId w:val="3"/>
        </w:numPr>
        <w:tabs>
          <w:tab w:val="left" w:pos="851"/>
          <w:tab w:val="left" w:pos="1134"/>
        </w:tabs>
        <w:suppressAutoHyphens/>
        <w:ind w:left="0" w:firstLine="851"/>
        <w:jc w:val="both"/>
        <w:rPr>
          <w:rFonts w:ascii="Times New Roman" w:eastAsia="Arial Unicode MS" w:hAnsi="Times New Roman" w:cs="Times New Roman"/>
          <w:szCs w:val="24"/>
          <w:bdr w:val="none" w:sz="0" w:space="0" w:color="auto" w:frame="1"/>
        </w:rPr>
      </w:pPr>
      <w:r w:rsidRPr="009F753F">
        <w:rPr>
          <w:rFonts w:ascii="Times New Roman" w:hAnsi="Times New Roman" w:cs="Times New Roman"/>
          <w:color w:val="000000" w:themeColor="text1"/>
          <w:szCs w:val="24"/>
          <w:bdr w:val="none" w:sz="0" w:space="0" w:color="auto" w:frame="1"/>
        </w:rPr>
        <w:t>Jei siūlomas objek</w:t>
      </w:r>
      <w:r>
        <w:rPr>
          <w:rFonts w:ascii="Times New Roman" w:hAnsi="Times New Roman" w:cs="Times New Roman"/>
          <w:color w:val="000000" w:themeColor="text1"/>
          <w:szCs w:val="24"/>
          <w:bdr w:val="none" w:sz="0" w:space="0" w:color="auto" w:frame="1"/>
        </w:rPr>
        <w:t>tas neturi nurodyto pranašumo:</w:t>
      </w:r>
      <w:r w:rsidRPr="009F753F">
        <w:rPr>
          <w:rFonts w:ascii="Times New Roman" w:hAnsi="Times New Roman" w:cs="Times New Roman"/>
          <w:color w:val="000000" w:themeColor="text1"/>
          <w:szCs w:val="24"/>
          <w:bdr w:val="none" w:sz="0" w:space="0" w:color="auto" w:frame="1"/>
        </w:rPr>
        <w:t xml:space="preserve"> T</w:t>
      </w:r>
      <w:r w:rsidRPr="009F753F">
        <w:rPr>
          <w:rFonts w:ascii="Times New Roman" w:hAnsi="Times New Roman" w:cs="Times New Roman"/>
          <w:color w:val="000000" w:themeColor="text1"/>
          <w:szCs w:val="24"/>
          <w:bdr w:val="none" w:sz="0" w:space="0" w:color="auto" w:frame="1"/>
          <w:vertAlign w:val="subscript"/>
        </w:rPr>
        <w:t>3</w:t>
      </w:r>
      <w:r w:rsidRPr="009F753F">
        <w:rPr>
          <w:rFonts w:ascii="Times New Roman" w:hAnsi="Times New Roman" w:cs="Times New Roman"/>
          <w:color w:val="000000" w:themeColor="text1"/>
          <w:szCs w:val="24"/>
          <w:bdr w:val="none" w:sz="0" w:space="0" w:color="auto" w:frame="1"/>
        </w:rPr>
        <w:t xml:space="preserve"> = L</w:t>
      </w:r>
      <w:r w:rsidRPr="009F753F">
        <w:rPr>
          <w:rFonts w:ascii="Times New Roman" w:hAnsi="Times New Roman" w:cs="Times New Roman"/>
          <w:color w:val="000000" w:themeColor="text1"/>
          <w:szCs w:val="24"/>
          <w:bdr w:val="none" w:sz="0" w:space="0" w:color="auto" w:frame="1"/>
          <w:vertAlign w:val="subscript"/>
        </w:rPr>
        <w:t xml:space="preserve">3 </w:t>
      </w:r>
      <w:r>
        <w:rPr>
          <w:rFonts w:ascii="Times New Roman" w:hAnsi="Times New Roman" w:cs="Times New Roman"/>
          <w:color w:val="000000" w:themeColor="text1"/>
          <w:szCs w:val="24"/>
          <w:bdr w:val="none" w:sz="0" w:space="0" w:color="auto" w:frame="1"/>
        </w:rPr>
        <w:t>= 0</w:t>
      </w:r>
      <w:r w:rsidRPr="009F753F">
        <w:rPr>
          <w:rFonts w:ascii="Times New Roman" w:hAnsi="Times New Roman" w:cs="Times New Roman"/>
          <w:color w:val="000000" w:themeColor="text1"/>
          <w:szCs w:val="24"/>
          <w:bdr w:val="none" w:sz="0" w:space="0" w:color="auto" w:frame="1"/>
        </w:rPr>
        <w:t>.</w:t>
      </w:r>
    </w:p>
    <w:p w:rsidR="009F753F" w:rsidRPr="009F753F" w:rsidRDefault="009F753F" w:rsidP="009F753F">
      <w:pPr>
        <w:shd w:val="clear" w:color="auto" w:fill="FFFFFF"/>
        <w:ind w:firstLine="851"/>
        <w:jc w:val="both"/>
        <w:rPr>
          <w:rFonts w:eastAsia="Calibri"/>
          <w:color w:val="000000" w:themeColor="text1"/>
          <w:bdr w:val="none" w:sz="0" w:space="0" w:color="auto" w:frame="1"/>
        </w:rPr>
      </w:pPr>
    </w:p>
    <w:p w:rsidR="009F753F" w:rsidRPr="009F753F" w:rsidRDefault="009F753F" w:rsidP="009F753F">
      <w:pPr>
        <w:tabs>
          <w:tab w:val="left" w:pos="851"/>
        </w:tabs>
        <w:suppressAutoHyphens/>
        <w:ind w:firstLine="851"/>
        <w:jc w:val="both"/>
      </w:pPr>
      <w:r w:rsidRPr="009F753F">
        <w:rPr>
          <w:color w:val="000000" w:themeColor="text1"/>
          <w:bdr w:val="none" w:sz="0" w:space="0" w:color="auto" w:frame="1"/>
        </w:rPr>
        <w:t>Techninių pranašumų (T) balai apskaičiuojami visų techninių kriterijų parametrų įvertinimų sumą padauginant iš techninių pranašumų lyginamojo svorio (Y):</w:t>
      </w:r>
    </w:p>
    <w:p w:rsidR="009F753F" w:rsidRPr="009F753F" w:rsidRDefault="009F753F" w:rsidP="009F753F">
      <w:pPr>
        <w:tabs>
          <w:tab w:val="left" w:pos="851"/>
        </w:tabs>
        <w:suppressAutoHyphens/>
        <w:ind w:left="360" w:firstLine="851"/>
      </w:pPr>
    </w:p>
    <w:p w:rsidR="009F753F" w:rsidRPr="009F753F" w:rsidRDefault="009F753F" w:rsidP="009F753F">
      <w:pPr>
        <w:tabs>
          <w:tab w:val="left" w:pos="4440"/>
        </w:tabs>
        <w:rPr>
          <w:lang w:val="lt-LT"/>
        </w:rPr>
      </w:pPr>
      <m:oMathPara>
        <m:oMath>
          <m:r>
            <w:rPr>
              <w:rFonts w:ascii="Cambria Math" w:eastAsia="Helvetica Neue UltraLight" w:hAnsi="Cambria Math"/>
              <w:color w:val="000000" w:themeColor="text1"/>
              <w:bdr w:val="none" w:sz="0" w:space="0" w:color="auto" w:frame="1"/>
            </w:rPr>
            <m:t>T=</m:t>
          </m:r>
          <m:d>
            <m:dPr>
              <m:ctrlPr>
                <w:rPr>
                  <w:rFonts w:ascii="Cambria Math" w:eastAsia="Helvetica Neue UltraLight" w:hAnsi="Cambria Math"/>
                  <w:i/>
                  <w:color w:val="000000" w:themeColor="text1"/>
                  <w:bdr w:val="none" w:sz="0" w:space="0" w:color="auto" w:frame="1"/>
                </w:rPr>
              </m:ctrlPr>
            </m:dPr>
            <m:e>
              <m:nary>
                <m:naryPr>
                  <m:chr m:val="∑"/>
                  <m:grow m:val="1"/>
                  <m:ctrlPr>
                    <w:rPr>
                      <w:rFonts w:ascii="Cambria Math" w:eastAsia="Helvetica Neue UltraLight" w:hAnsi="Cambria Math"/>
                      <w:color w:val="000000" w:themeColor="text1"/>
                      <w:bdr w:val="none" w:sz="0" w:space="0" w:color="auto" w:frame="1"/>
                    </w:rPr>
                  </m:ctrlPr>
                </m:naryPr>
                <m:sub>
                  <m:r>
                    <w:rPr>
                      <w:rFonts w:ascii="Cambria Math" w:eastAsia="Cambria Math" w:hAnsi="Cambria Math"/>
                      <w:color w:val="000000" w:themeColor="text1"/>
                      <w:bdr w:val="none" w:sz="0" w:space="0" w:color="auto" w:frame="1"/>
                    </w:rPr>
                    <m:t>i=1</m:t>
                  </m:r>
                </m:sub>
                <m:sup>
                  <m:r>
                    <w:rPr>
                      <w:rFonts w:ascii="Cambria Math" w:eastAsia="Helvetica Neue UltraLight" w:hAnsi="Cambria Math"/>
                      <w:color w:val="000000" w:themeColor="text1"/>
                      <w:bdr w:val="none" w:sz="0" w:space="0" w:color="auto" w:frame="1"/>
                    </w:rPr>
                    <m:t>3</m:t>
                  </m:r>
                </m:sup>
                <m:e>
                  <m:sSub>
                    <m:sSubPr>
                      <m:ctrlPr>
                        <w:rPr>
                          <w:rFonts w:ascii="Cambria Math" w:eastAsia="Helvetica Neue UltraLight" w:hAnsi="Cambria Math"/>
                          <w:i/>
                          <w:color w:val="000000" w:themeColor="text1"/>
                          <w:bdr w:val="none" w:sz="0" w:space="0" w:color="auto" w:frame="1"/>
                        </w:rPr>
                      </m:ctrlPr>
                    </m:sSubPr>
                    <m:e>
                      <m:r>
                        <w:rPr>
                          <w:rFonts w:ascii="Cambria Math" w:eastAsia="Helvetica Neue UltraLight" w:hAnsi="Cambria Math"/>
                          <w:color w:val="000000" w:themeColor="text1"/>
                          <w:bdr w:val="none" w:sz="0" w:space="0" w:color="auto" w:frame="1"/>
                        </w:rPr>
                        <m:t>T</m:t>
                      </m:r>
                    </m:e>
                    <m:sub>
                      <m:r>
                        <w:rPr>
                          <w:rFonts w:ascii="Cambria Math" w:eastAsia="Helvetica Neue UltraLight" w:hAnsi="Cambria Math"/>
                          <w:color w:val="000000" w:themeColor="text1"/>
                          <w:bdr w:val="none" w:sz="0" w:space="0" w:color="auto" w:frame="1"/>
                        </w:rPr>
                        <m:t>i</m:t>
                      </m:r>
                    </m:sub>
                  </m:sSub>
                </m:e>
              </m:nary>
            </m:e>
          </m:d>
          <m:r>
            <w:rPr>
              <w:rFonts w:ascii="Cambria Math" w:eastAsia="Helvetica Neue UltraLight" w:hAnsi="Cambria Math"/>
              <w:color w:val="000000" w:themeColor="text1"/>
              <w:bdr w:val="none" w:sz="0" w:space="0" w:color="auto" w:frame="1"/>
            </w:rPr>
            <m:t>×Y.</m:t>
          </m:r>
        </m:oMath>
      </m:oMathPara>
    </w:p>
    <w:sectPr w:rsidR="009F753F" w:rsidRPr="009F753F" w:rsidSect="0013618F">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auto"/>
    <w:pitch w:val="variable"/>
    <w:sig w:usb0="A00002FF" w:usb1="5000205B" w:usb2="00000002"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abstractNum w:abstractNumId="1" w15:restartNumberingAfterBreak="0">
    <w:nsid w:val="4EFC5D45"/>
    <w:multiLevelType w:val="hybridMultilevel"/>
    <w:tmpl w:val="B332F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start w:val="1"/>
      <w:numFmt w:val="bullet"/>
      <w:lvlText w:val="o"/>
      <w:lvlJc w:val="left"/>
      <w:pPr>
        <w:ind w:left="2433" w:hanging="360"/>
      </w:pPr>
      <w:rPr>
        <w:rFonts w:ascii="Courier New" w:hAnsi="Courier New" w:cs="Courier New" w:hint="default"/>
      </w:rPr>
    </w:lvl>
    <w:lvl w:ilvl="2" w:tplc="04270005">
      <w:start w:val="1"/>
      <w:numFmt w:val="bullet"/>
      <w:lvlText w:val=""/>
      <w:lvlJc w:val="left"/>
      <w:pPr>
        <w:ind w:left="3153" w:hanging="360"/>
      </w:pPr>
      <w:rPr>
        <w:rFonts w:ascii="Wingdings" w:hAnsi="Wingdings" w:hint="default"/>
      </w:rPr>
    </w:lvl>
    <w:lvl w:ilvl="3" w:tplc="04270001">
      <w:start w:val="1"/>
      <w:numFmt w:val="bullet"/>
      <w:lvlText w:val=""/>
      <w:lvlJc w:val="left"/>
      <w:pPr>
        <w:ind w:left="3873" w:hanging="360"/>
      </w:pPr>
      <w:rPr>
        <w:rFonts w:ascii="Symbol" w:hAnsi="Symbol" w:hint="default"/>
      </w:rPr>
    </w:lvl>
    <w:lvl w:ilvl="4" w:tplc="04270003">
      <w:start w:val="1"/>
      <w:numFmt w:val="bullet"/>
      <w:lvlText w:val="o"/>
      <w:lvlJc w:val="left"/>
      <w:pPr>
        <w:ind w:left="4593" w:hanging="360"/>
      </w:pPr>
      <w:rPr>
        <w:rFonts w:ascii="Courier New" w:hAnsi="Courier New" w:cs="Courier New" w:hint="default"/>
      </w:rPr>
    </w:lvl>
    <w:lvl w:ilvl="5" w:tplc="04270005">
      <w:start w:val="1"/>
      <w:numFmt w:val="bullet"/>
      <w:lvlText w:val=""/>
      <w:lvlJc w:val="left"/>
      <w:pPr>
        <w:ind w:left="5313" w:hanging="360"/>
      </w:pPr>
      <w:rPr>
        <w:rFonts w:ascii="Wingdings" w:hAnsi="Wingdings" w:hint="default"/>
      </w:rPr>
    </w:lvl>
    <w:lvl w:ilvl="6" w:tplc="04270001">
      <w:start w:val="1"/>
      <w:numFmt w:val="bullet"/>
      <w:lvlText w:val=""/>
      <w:lvlJc w:val="left"/>
      <w:pPr>
        <w:ind w:left="6033" w:hanging="360"/>
      </w:pPr>
      <w:rPr>
        <w:rFonts w:ascii="Symbol" w:hAnsi="Symbol" w:hint="default"/>
      </w:rPr>
    </w:lvl>
    <w:lvl w:ilvl="7" w:tplc="04270003">
      <w:start w:val="1"/>
      <w:numFmt w:val="bullet"/>
      <w:lvlText w:val="o"/>
      <w:lvlJc w:val="left"/>
      <w:pPr>
        <w:ind w:left="6753" w:hanging="360"/>
      </w:pPr>
      <w:rPr>
        <w:rFonts w:ascii="Courier New" w:hAnsi="Courier New" w:cs="Courier New" w:hint="default"/>
      </w:rPr>
    </w:lvl>
    <w:lvl w:ilvl="8" w:tplc="04270005">
      <w:start w:val="1"/>
      <w:numFmt w:val="bullet"/>
      <w:lvlText w:val=""/>
      <w:lvlJc w:val="left"/>
      <w:pPr>
        <w:ind w:left="7473"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18F"/>
    <w:rsid w:val="00076C72"/>
    <w:rsid w:val="00082D75"/>
    <w:rsid w:val="000D21C7"/>
    <w:rsid w:val="000D725B"/>
    <w:rsid w:val="000E2425"/>
    <w:rsid w:val="0013618F"/>
    <w:rsid w:val="00211A3C"/>
    <w:rsid w:val="0026354A"/>
    <w:rsid w:val="002A1ED2"/>
    <w:rsid w:val="002D38D0"/>
    <w:rsid w:val="002F12C3"/>
    <w:rsid w:val="003509AF"/>
    <w:rsid w:val="003B080C"/>
    <w:rsid w:val="004077FA"/>
    <w:rsid w:val="004C4A19"/>
    <w:rsid w:val="005330DF"/>
    <w:rsid w:val="006B3523"/>
    <w:rsid w:val="00797E2F"/>
    <w:rsid w:val="007A3271"/>
    <w:rsid w:val="007F0D6D"/>
    <w:rsid w:val="008F5B4F"/>
    <w:rsid w:val="00913C1C"/>
    <w:rsid w:val="00991D98"/>
    <w:rsid w:val="00995D14"/>
    <w:rsid w:val="009F753F"/>
    <w:rsid w:val="00A86CA9"/>
    <w:rsid w:val="00AA5B8F"/>
    <w:rsid w:val="00AC7DA6"/>
    <w:rsid w:val="00B27637"/>
    <w:rsid w:val="00B36573"/>
    <w:rsid w:val="00B579DA"/>
    <w:rsid w:val="00BA648E"/>
    <w:rsid w:val="00C27A52"/>
    <w:rsid w:val="00CA7BFF"/>
    <w:rsid w:val="00CE7AE5"/>
    <w:rsid w:val="00DC3AC1"/>
    <w:rsid w:val="00E52E66"/>
    <w:rsid w:val="00EC44C0"/>
    <w:rsid w:val="00F17A7E"/>
    <w:rsid w:val="00F77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24138B-93F2-4B9E-924A-74828592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13618F"/>
    <w:pPr>
      <w:spacing w:after="0" w:line="240" w:lineRule="auto"/>
    </w:pPr>
    <w:rPr>
      <w:rFonts w:ascii="Times New Roman" w:eastAsia="Times New Roman" w:hAnsi="Times New Roman" w:cs="Times New Roman"/>
      <w:sz w:val="24"/>
      <w:szCs w:val="24"/>
      <w:lang w:val="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
    <w:name w:val="List"/>
    <w:basedOn w:val="Pagrindinistekstas"/>
    <w:rsid w:val="0013618F"/>
    <w:pPr>
      <w:suppressAutoHyphens/>
    </w:pPr>
    <w:rPr>
      <w:rFonts w:eastAsia="SimSun" w:cs="Mangal"/>
      <w:sz w:val="20"/>
      <w:szCs w:val="20"/>
      <w:lang w:val="en-GB" w:eastAsia="ar-SA"/>
    </w:rPr>
  </w:style>
  <w:style w:type="paragraph" w:styleId="Pagrindinistekstas">
    <w:name w:val="Body Text"/>
    <w:basedOn w:val="prastasis"/>
    <w:link w:val="PagrindinistekstasDiagrama"/>
    <w:uiPriority w:val="99"/>
    <w:semiHidden/>
    <w:unhideWhenUsed/>
    <w:rsid w:val="0013618F"/>
    <w:pPr>
      <w:spacing w:after="120"/>
    </w:pPr>
  </w:style>
  <w:style w:type="character" w:customStyle="1" w:styleId="PagrindinistekstasDiagrama">
    <w:name w:val="Pagrindinis tekstas Diagrama"/>
    <w:basedOn w:val="Numatytasispastraiposriftas"/>
    <w:link w:val="Pagrindinistekstas"/>
    <w:uiPriority w:val="99"/>
    <w:semiHidden/>
    <w:rsid w:val="0013618F"/>
    <w:rPr>
      <w:rFonts w:ascii="Times New Roman" w:eastAsia="Times New Roman" w:hAnsi="Times New Roman" w:cs="Times New Roman"/>
      <w:sz w:val="24"/>
      <w:szCs w:val="24"/>
      <w:lang w:val="lt" w:eastAsia="lt-LT"/>
    </w:rPr>
  </w:style>
  <w:style w:type="character" w:customStyle="1" w:styleId="SraopastraipaDiagrama">
    <w:name w:val="Sąrašo pastraipa Diagrama"/>
    <w:aliases w:val="Bullet EY Diagrama,List Paragraph Red Diagrama,lp1 Diagrama,Bullet 1 Diagrama,Use Case List Paragraph Diagrama,Numbering Diagrama,ERP-List Paragraph Diagrama,List Paragraph11 Diagrama,List Paragraph21 Diagrama,Buletai Diagrama"/>
    <w:link w:val="Sraopastraipa"/>
    <w:uiPriority w:val="34"/>
    <w:qFormat/>
    <w:locked/>
    <w:rsid w:val="009F753F"/>
    <w:rPr>
      <w:rFonts w:ascii="Calibri" w:eastAsia="Calibri" w:hAnsi="Calibri" w:cs="Calibri"/>
      <w:sz w:val="24"/>
    </w:rPr>
  </w:style>
  <w:style w:type="paragraph" w:styleId="Sraopastraipa">
    <w:name w:val="List Paragraph"/>
    <w:aliases w:val="Bullet EY,List Paragraph Red,lp1,Bullet 1,Use Case List Paragraph,Numbering,ERP-List Paragraph,List Paragraph11,List Paragraph21,Table of contents numbered,List Paragraph2,Buletai,List Paragraph111,Paragraph,List Paragraph1,Lentele,Lent"/>
    <w:basedOn w:val="prastasis"/>
    <w:link w:val="SraopastraipaDiagrama"/>
    <w:uiPriority w:val="34"/>
    <w:qFormat/>
    <w:rsid w:val="009F753F"/>
    <w:pPr>
      <w:ind w:left="720"/>
      <w:contextualSpacing/>
    </w:pPr>
    <w:rPr>
      <w:rFonts w:ascii="Calibri" w:eastAsia="Calibri" w:hAnsi="Calibri" w:cs="Calibri"/>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376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5657</Words>
  <Characters>3226</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2</cp:revision>
  <dcterms:created xsi:type="dcterms:W3CDTF">2026-03-30T12:20:00Z</dcterms:created>
  <dcterms:modified xsi:type="dcterms:W3CDTF">2026-03-30T12:20:00Z</dcterms:modified>
</cp:coreProperties>
</file>