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7B40" w14:textId="7E9BA7E5" w:rsidR="00482DB8" w:rsidRDefault="00482DB8" w:rsidP="002D4905">
      <w:pPr>
        <w:tabs>
          <w:tab w:val="right" w:leader="underscore" w:pos="8640"/>
        </w:tabs>
        <w:spacing w:before="120"/>
        <w:ind w:left="5670" w:firstLine="1134"/>
        <w:jc w:val="right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Priedas Nr. 1</w:t>
      </w:r>
    </w:p>
    <w:p w14:paraId="7090E610" w14:textId="27CDD200" w:rsidR="003B540E" w:rsidRPr="00C9586D" w:rsidRDefault="00482DB8" w:rsidP="002D4905">
      <w:pPr>
        <w:tabs>
          <w:tab w:val="right" w:leader="underscore" w:pos="8640"/>
        </w:tabs>
        <w:spacing w:before="120"/>
        <w:ind w:left="5670" w:firstLine="1134"/>
        <w:jc w:val="right"/>
        <w:rPr>
          <w:rFonts w:eastAsia="Calibri"/>
          <w:sz w:val="28"/>
          <w:szCs w:val="28"/>
        </w:rPr>
      </w:pPr>
      <w:r w:rsidRPr="00C9586D">
        <w:rPr>
          <w:rFonts w:eastAsia="Calibri"/>
          <w:b/>
          <w:sz w:val="28"/>
          <w:szCs w:val="28"/>
        </w:rPr>
        <w:t>P</w:t>
      </w:r>
      <w:r w:rsidR="00C9586D" w:rsidRPr="00C9586D">
        <w:rPr>
          <w:rFonts w:eastAsia="Calibri"/>
          <w:b/>
          <w:sz w:val="28"/>
          <w:szCs w:val="28"/>
        </w:rPr>
        <w:t>rojektas</w:t>
      </w:r>
    </w:p>
    <w:p w14:paraId="3924A874" w14:textId="22CBD85D" w:rsidR="00482DB8" w:rsidRDefault="00C9586D" w:rsidP="00CE1630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Techninė specifikacija</w:t>
      </w:r>
    </w:p>
    <w:p w14:paraId="6596902B" w14:textId="77777777" w:rsidR="00C9586D" w:rsidRDefault="00C9586D" w:rsidP="00CE1630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14:paraId="42CA03BF" w14:textId="7244169E" w:rsidR="0075436D" w:rsidRDefault="000967AF" w:rsidP="00CE1630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75436D">
        <w:rPr>
          <w:b/>
          <w:bCs/>
          <w:sz w:val="28"/>
          <w:szCs w:val="28"/>
        </w:rPr>
        <w:t xml:space="preserve">C/S elementų analizatorius </w:t>
      </w:r>
    </w:p>
    <w:p w14:paraId="208DC004" w14:textId="5C9B098B" w:rsidR="00B77311" w:rsidRPr="0075436D" w:rsidRDefault="000967AF" w:rsidP="00CE1630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75436D">
        <w:rPr>
          <w:b/>
          <w:bCs/>
          <w:sz w:val="28"/>
          <w:szCs w:val="28"/>
        </w:rPr>
        <w:t>anglies kiekio ir sieros kiekio</w:t>
      </w:r>
      <w:r w:rsidR="008D5351" w:rsidRPr="0075436D">
        <w:rPr>
          <w:b/>
          <w:bCs/>
          <w:sz w:val="28"/>
          <w:szCs w:val="28"/>
        </w:rPr>
        <w:t xml:space="preserve"> naftos produktuose nustatymui</w:t>
      </w:r>
    </w:p>
    <w:p w14:paraId="5EBD35B5" w14:textId="77777777" w:rsidR="00CE1630" w:rsidRPr="0079623F" w:rsidRDefault="00CE1630" w:rsidP="00CE1630">
      <w:pPr>
        <w:autoSpaceDE w:val="0"/>
        <w:autoSpaceDN w:val="0"/>
        <w:adjustRightInd w:val="0"/>
        <w:ind w:left="7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1950"/>
        <w:gridCol w:w="6965"/>
      </w:tblGrid>
      <w:tr w:rsidR="00C45284" w14:paraId="0B8D6837" w14:textId="77777777" w:rsidTr="00E921E2">
        <w:trPr>
          <w:tblHeader/>
        </w:trPr>
        <w:tc>
          <w:tcPr>
            <w:tcW w:w="979" w:type="dxa"/>
          </w:tcPr>
          <w:p w14:paraId="76BD7171" w14:textId="6911724C" w:rsidR="00C45284" w:rsidRPr="004B3EE1" w:rsidRDefault="00C45284" w:rsidP="007543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964" w:type="dxa"/>
          </w:tcPr>
          <w:p w14:paraId="0E6B289A" w14:textId="078AE69B" w:rsidR="00C45284" w:rsidRPr="004B3EE1" w:rsidRDefault="00C45284" w:rsidP="0075436D">
            <w:pPr>
              <w:spacing w:before="120" w:after="120"/>
              <w:jc w:val="center"/>
              <w:rPr>
                <w:b/>
              </w:rPr>
            </w:pPr>
            <w:r w:rsidRPr="004B3EE1">
              <w:rPr>
                <w:b/>
              </w:rPr>
              <w:t>Rodiklis</w:t>
            </w:r>
          </w:p>
        </w:tc>
        <w:tc>
          <w:tcPr>
            <w:tcW w:w="7194" w:type="dxa"/>
          </w:tcPr>
          <w:p w14:paraId="400143A8" w14:textId="77777777" w:rsidR="00C45284" w:rsidRPr="004B3EE1" w:rsidRDefault="00C45284" w:rsidP="0075436D">
            <w:pPr>
              <w:spacing w:before="120" w:after="120"/>
              <w:jc w:val="center"/>
              <w:rPr>
                <w:b/>
              </w:rPr>
            </w:pPr>
            <w:r w:rsidRPr="004B3EE1">
              <w:rPr>
                <w:b/>
              </w:rPr>
              <w:t>Reikalavimai</w:t>
            </w:r>
          </w:p>
        </w:tc>
      </w:tr>
      <w:tr w:rsidR="00C45284" w14:paraId="1B3684F1" w14:textId="77777777" w:rsidTr="0075436D">
        <w:tc>
          <w:tcPr>
            <w:tcW w:w="979" w:type="dxa"/>
          </w:tcPr>
          <w:p w14:paraId="4B000DC7" w14:textId="3CF8C685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4AE3B3D6" w14:textId="7CB32B70" w:rsidR="00C45284" w:rsidRDefault="008D5351" w:rsidP="00AB7576">
            <w:pPr>
              <w:spacing w:before="120" w:after="120"/>
            </w:pPr>
            <w:r>
              <w:t>Įrenginys</w:t>
            </w:r>
          </w:p>
        </w:tc>
        <w:tc>
          <w:tcPr>
            <w:tcW w:w="7194" w:type="dxa"/>
          </w:tcPr>
          <w:p w14:paraId="1C76F8E1" w14:textId="4792165A" w:rsidR="00C45284" w:rsidRDefault="005408DD" w:rsidP="00AB7576">
            <w:pPr>
              <w:spacing w:before="120" w:after="120"/>
            </w:pPr>
            <w:proofErr w:type="spellStart"/>
            <w:r>
              <w:t>Multielementinis</w:t>
            </w:r>
            <w:proofErr w:type="spellEnd"/>
            <w:r>
              <w:t xml:space="preserve"> analizatorius sieros ir anglies kiekio nustatymui naftos produktuose.</w:t>
            </w:r>
          </w:p>
        </w:tc>
      </w:tr>
      <w:tr w:rsidR="00C45284" w14:paraId="7AF0F856" w14:textId="77777777" w:rsidTr="0075436D">
        <w:tc>
          <w:tcPr>
            <w:tcW w:w="979" w:type="dxa"/>
          </w:tcPr>
          <w:p w14:paraId="70C023DF" w14:textId="2EE4AF43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1596C3AE" w14:textId="108DCE92" w:rsidR="00C45284" w:rsidRDefault="005408DD" w:rsidP="00AB7576">
            <w:pPr>
              <w:spacing w:before="120" w:after="120"/>
            </w:pPr>
            <w:r>
              <w:t>Paskirtis</w:t>
            </w:r>
          </w:p>
        </w:tc>
        <w:tc>
          <w:tcPr>
            <w:tcW w:w="7194" w:type="dxa"/>
          </w:tcPr>
          <w:p w14:paraId="53DDB18B" w14:textId="00CBAD43" w:rsidR="00C45284" w:rsidRDefault="000967AF" w:rsidP="00AB7576">
            <w:pPr>
              <w:spacing w:before="120" w:after="120"/>
            </w:pPr>
            <w:r>
              <w:t>Bendr</w:t>
            </w:r>
            <w:r w:rsidR="005408DD">
              <w:t>o</w:t>
            </w:r>
            <w:r>
              <w:t xml:space="preserve"> anglies kieki</w:t>
            </w:r>
            <w:r w:rsidR="005408DD">
              <w:t>o ir</w:t>
            </w:r>
            <w:r>
              <w:t xml:space="preserve"> bendr</w:t>
            </w:r>
            <w:r w:rsidR="005408DD">
              <w:t>o</w:t>
            </w:r>
            <w:r>
              <w:t xml:space="preserve"> sieros kieki</w:t>
            </w:r>
            <w:r w:rsidR="005408DD">
              <w:t>o nustatymui naftos produktuose.</w:t>
            </w:r>
          </w:p>
        </w:tc>
      </w:tr>
      <w:tr w:rsidR="00C45284" w14:paraId="2D388BE9" w14:textId="77777777" w:rsidTr="0075436D">
        <w:tc>
          <w:tcPr>
            <w:tcW w:w="979" w:type="dxa"/>
          </w:tcPr>
          <w:p w14:paraId="5B24D98F" w14:textId="16247A1B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0973E917" w14:textId="41D57736" w:rsidR="00C45284" w:rsidRDefault="000967AF" w:rsidP="00AB7576">
            <w:pPr>
              <w:spacing w:before="120" w:after="120"/>
            </w:pPr>
            <w:r>
              <w:t>Matavimo principas</w:t>
            </w:r>
          </w:p>
        </w:tc>
        <w:tc>
          <w:tcPr>
            <w:tcW w:w="7194" w:type="dxa"/>
          </w:tcPr>
          <w:p w14:paraId="3EC1D5EC" w14:textId="26EAE8F4" w:rsidR="00C45284" w:rsidRDefault="00AB304D" w:rsidP="00AB7576">
            <w:pPr>
              <w:spacing w:before="120" w:after="120"/>
            </w:pPr>
            <w:r>
              <w:t>Mėginio d</w:t>
            </w:r>
            <w:r w:rsidR="004432C3">
              <w:t>eginimas</w:t>
            </w:r>
            <w:r>
              <w:t xml:space="preserve">. Ultra violetinių spindulių fluorescencijos (UVF) spektrometrija ir </w:t>
            </w:r>
            <w:r w:rsidRPr="007B698F">
              <w:t>Nedispersinė infraraudonųjų spindulių spektrometrija</w:t>
            </w:r>
            <w:r>
              <w:t xml:space="preserve"> (NDIR).</w:t>
            </w:r>
          </w:p>
        </w:tc>
      </w:tr>
      <w:tr w:rsidR="004432C3" w14:paraId="66E6DBA3" w14:textId="77777777" w:rsidTr="0075436D">
        <w:tc>
          <w:tcPr>
            <w:tcW w:w="979" w:type="dxa"/>
          </w:tcPr>
          <w:p w14:paraId="5523789D" w14:textId="77777777" w:rsidR="004432C3" w:rsidRDefault="004432C3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4CD7150C" w14:textId="3E814032" w:rsidR="004432C3" w:rsidRDefault="004432C3" w:rsidP="00AB7576">
            <w:pPr>
              <w:spacing w:before="120" w:after="120"/>
            </w:pPr>
            <w:r>
              <w:t>Degimo krosnis</w:t>
            </w:r>
          </w:p>
        </w:tc>
        <w:tc>
          <w:tcPr>
            <w:tcW w:w="7194" w:type="dxa"/>
          </w:tcPr>
          <w:p w14:paraId="6030EBB8" w14:textId="77777777" w:rsidR="004432C3" w:rsidRDefault="004432C3" w:rsidP="00AB7576">
            <w:pPr>
              <w:spacing w:before="120" w:after="120"/>
            </w:pPr>
            <w:r>
              <w:t>Temperatūra ne mažiau 1100° C.</w:t>
            </w:r>
          </w:p>
          <w:p w14:paraId="724F4A6B" w14:textId="684D4F3B" w:rsidR="003A62AD" w:rsidRDefault="003A62AD" w:rsidP="00AB7576">
            <w:pPr>
              <w:spacing w:before="120" w:after="120"/>
            </w:pPr>
            <w:r>
              <w:t>Su apsauga nuo suodžių susidarymo (mėginio degimo jutiklis)</w:t>
            </w:r>
          </w:p>
        </w:tc>
      </w:tr>
      <w:tr w:rsidR="004432C3" w14:paraId="08ABB5C2" w14:textId="77777777" w:rsidTr="0075436D">
        <w:tc>
          <w:tcPr>
            <w:tcW w:w="979" w:type="dxa"/>
          </w:tcPr>
          <w:p w14:paraId="0E487E98" w14:textId="77777777" w:rsidR="004432C3" w:rsidRDefault="004432C3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0E2D589A" w14:textId="50F8231D" w:rsidR="004432C3" w:rsidRDefault="004432C3" w:rsidP="00AB7576">
            <w:pPr>
              <w:spacing w:before="120" w:after="120"/>
            </w:pPr>
            <w:r>
              <w:t>Mėginio įvedimas į krosnį</w:t>
            </w:r>
          </w:p>
        </w:tc>
        <w:tc>
          <w:tcPr>
            <w:tcW w:w="7194" w:type="dxa"/>
          </w:tcPr>
          <w:p w14:paraId="51ED25B7" w14:textId="3FB1166A" w:rsidR="00B62942" w:rsidRDefault="00B62942" w:rsidP="00AB7576">
            <w:pPr>
              <w:spacing w:before="120" w:after="120"/>
            </w:pPr>
            <w:r>
              <w:t>Automatinis (skysto mėginio)</w:t>
            </w:r>
            <w:r w:rsidR="003A62AD">
              <w:t xml:space="preserve"> – min 100 vnt.</w:t>
            </w:r>
          </w:p>
          <w:p w14:paraId="5DCD74DC" w14:textId="28795636" w:rsidR="004432C3" w:rsidRDefault="00B62942" w:rsidP="00AB7576">
            <w:pPr>
              <w:spacing w:before="120" w:after="120"/>
            </w:pPr>
            <w:r>
              <w:t>Horizontalus (su „valtele“).</w:t>
            </w:r>
          </w:p>
          <w:p w14:paraId="7CACB514" w14:textId="3A3F4651" w:rsidR="00B62942" w:rsidRDefault="00B62942" w:rsidP="00AB7576">
            <w:pPr>
              <w:spacing w:before="120" w:after="120"/>
            </w:pPr>
            <w:r>
              <w:t xml:space="preserve">Min mėginio kiekis 100 </w:t>
            </w:r>
            <w:proofErr w:type="spellStart"/>
            <w:r>
              <w:rPr>
                <w:rFonts w:ascii="Calibri" w:hAnsi="Calibri" w:cs="Calibri"/>
              </w:rPr>
              <w:t>μ</w:t>
            </w:r>
            <w:r>
              <w:t>L</w:t>
            </w:r>
            <w:proofErr w:type="spellEnd"/>
            <w:r>
              <w:t>.</w:t>
            </w:r>
          </w:p>
        </w:tc>
      </w:tr>
      <w:tr w:rsidR="003A62AD" w14:paraId="1AF17808" w14:textId="77777777" w:rsidTr="0075436D">
        <w:tc>
          <w:tcPr>
            <w:tcW w:w="979" w:type="dxa"/>
          </w:tcPr>
          <w:p w14:paraId="0AE113C1" w14:textId="77777777" w:rsidR="003A62AD" w:rsidRDefault="003A62AD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77BF94AC" w14:textId="232D558B" w:rsidR="003A62AD" w:rsidRDefault="003A62AD" w:rsidP="00AB7576">
            <w:pPr>
              <w:spacing w:before="120" w:after="120"/>
            </w:pPr>
            <w:r>
              <w:t>Analizės laikas</w:t>
            </w:r>
          </w:p>
        </w:tc>
        <w:tc>
          <w:tcPr>
            <w:tcW w:w="7194" w:type="dxa"/>
          </w:tcPr>
          <w:p w14:paraId="0BB78838" w14:textId="4ACD9800" w:rsidR="003A62AD" w:rsidRDefault="003A62AD" w:rsidP="00AB7576">
            <w:pPr>
              <w:spacing w:before="120" w:after="120"/>
            </w:pPr>
            <w:r>
              <w:t>Ne ilgesnis kaip 5 minutės</w:t>
            </w:r>
          </w:p>
        </w:tc>
      </w:tr>
      <w:tr w:rsidR="00C45284" w14:paraId="39FD8480" w14:textId="77777777" w:rsidTr="0075436D">
        <w:tc>
          <w:tcPr>
            <w:tcW w:w="979" w:type="dxa"/>
          </w:tcPr>
          <w:p w14:paraId="7984E06D" w14:textId="427F37BA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149DD65A" w14:textId="2B243070" w:rsidR="00C45284" w:rsidRPr="00F7061A" w:rsidRDefault="00AB7576" w:rsidP="00AB7576">
            <w:pPr>
              <w:spacing w:before="120" w:after="120"/>
            </w:pPr>
            <w:r>
              <w:t>D</w:t>
            </w:r>
            <w:r w:rsidR="00ED430D">
              <w:t>etektoriai</w:t>
            </w:r>
          </w:p>
        </w:tc>
        <w:tc>
          <w:tcPr>
            <w:tcW w:w="7194" w:type="dxa"/>
          </w:tcPr>
          <w:p w14:paraId="3213311A" w14:textId="77777777" w:rsidR="007B698F" w:rsidRPr="0075436D" w:rsidRDefault="009F7F48" w:rsidP="00AB7576">
            <w:pPr>
              <w:spacing w:before="120" w:after="120"/>
              <w:rPr>
                <w:b/>
                <w:bCs/>
              </w:rPr>
            </w:pPr>
            <w:r w:rsidRPr="0075436D">
              <w:rPr>
                <w:b/>
                <w:bCs/>
              </w:rPr>
              <w:t>Sierai:</w:t>
            </w:r>
          </w:p>
          <w:p w14:paraId="5F36DB09" w14:textId="3D30F039" w:rsidR="00C45284" w:rsidRDefault="009F7F48" w:rsidP="007B698F">
            <w:pPr>
              <w:spacing w:before="120" w:after="120"/>
              <w:ind w:left="284"/>
              <w:jc w:val="both"/>
            </w:pPr>
            <w:r>
              <w:t>U</w:t>
            </w:r>
            <w:r w:rsidR="007B698F">
              <w:t>ltra violetinių spindulių</w:t>
            </w:r>
            <w:r>
              <w:t xml:space="preserve"> fluorescencija </w:t>
            </w:r>
            <w:r w:rsidR="007B698F">
              <w:t>(UVF) –</w:t>
            </w:r>
            <w:r>
              <w:t xml:space="preserve"> </w:t>
            </w:r>
            <w:r w:rsidRPr="009F7F48">
              <w:t xml:space="preserve">platus tiesinis veikimo diapazonas, tiesioginė mikroelementų ir didelio elementų kiekio analizė (nereikia išankstinio apdorojimo), </w:t>
            </w:r>
            <w:proofErr w:type="spellStart"/>
            <w:r w:rsidRPr="009F7F48">
              <w:t>mikroplazmos</w:t>
            </w:r>
            <w:proofErr w:type="spellEnd"/>
            <w:r w:rsidRPr="009F7F48">
              <w:t xml:space="preserve"> optimizavimas (MPO, apsaugantis nuo N trukdžių), didelio našumo džiovintuvas</w:t>
            </w:r>
          </w:p>
          <w:p w14:paraId="67E93822" w14:textId="77777777" w:rsidR="007B698F" w:rsidRPr="0075436D" w:rsidRDefault="007B698F" w:rsidP="007B698F">
            <w:pPr>
              <w:spacing w:before="120" w:after="120"/>
              <w:rPr>
                <w:b/>
                <w:bCs/>
              </w:rPr>
            </w:pPr>
            <w:r w:rsidRPr="0075436D">
              <w:rPr>
                <w:b/>
                <w:bCs/>
              </w:rPr>
              <w:t>Angliai:</w:t>
            </w:r>
          </w:p>
          <w:p w14:paraId="0634FDE9" w14:textId="4F4F4CDD" w:rsidR="007B698F" w:rsidRPr="00F7061A" w:rsidRDefault="007B698F" w:rsidP="005408DD">
            <w:pPr>
              <w:spacing w:before="120" w:after="120"/>
              <w:ind w:left="284"/>
              <w:jc w:val="both"/>
            </w:pPr>
            <w:r w:rsidRPr="007B698F">
              <w:t>Nedispersinė infraraudonųjų spindulių spektrometrija</w:t>
            </w:r>
            <w:r>
              <w:t xml:space="preserve"> (NDIR) </w:t>
            </w:r>
            <w:r w:rsidR="005408DD">
              <w:t>–</w:t>
            </w:r>
            <w:r w:rsidR="005408DD" w:rsidRPr="005408DD">
              <w:t xml:space="preserve"> platus tiesinis veikimo diapazonas, nereikalaujantis priežiūros, tiesioginė mikroelementų ir didelio elementų kiekio analizė (nereikia išankstinio apdorojimo), didelio našumo džiovintuvas</w:t>
            </w:r>
          </w:p>
        </w:tc>
      </w:tr>
      <w:tr w:rsidR="00C45284" w14:paraId="68CF201B" w14:textId="77777777" w:rsidTr="0075436D">
        <w:tc>
          <w:tcPr>
            <w:tcW w:w="979" w:type="dxa"/>
          </w:tcPr>
          <w:p w14:paraId="732ADF86" w14:textId="2F4DECA5" w:rsidR="00C45284" w:rsidRPr="00F7061A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4DD0E676" w14:textId="082AF06A" w:rsidR="00C45284" w:rsidRPr="00F7061A" w:rsidRDefault="007B698F" w:rsidP="00AB7576">
            <w:pPr>
              <w:spacing w:before="120" w:after="120"/>
            </w:pPr>
            <w:r>
              <w:t>Matavimo ribos</w:t>
            </w:r>
          </w:p>
        </w:tc>
        <w:tc>
          <w:tcPr>
            <w:tcW w:w="7194" w:type="dxa"/>
          </w:tcPr>
          <w:p w14:paraId="1CBAE613" w14:textId="222C792A" w:rsidR="007B698F" w:rsidRDefault="007B698F" w:rsidP="00CF69E4">
            <w:pPr>
              <w:spacing w:before="120"/>
            </w:pPr>
            <w:r w:rsidRPr="00CF69E4">
              <w:rPr>
                <w:b/>
                <w:bCs/>
              </w:rPr>
              <w:t>Sierai:</w:t>
            </w:r>
            <w:r w:rsidR="00CF69E4">
              <w:t xml:space="preserve">  </w:t>
            </w:r>
            <w:r>
              <w:t>ne blogiau kaip 0 – 10000 mg/L</w:t>
            </w:r>
          </w:p>
          <w:p w14:paraId="62260D0A" w14:textId="1F30FF20" w:rsidR="007B698F" w:rsidRPr="00F7061A" w:rsidRDefault="007B698F" w:rsidP="00CF69E4">
            <w:pPr>
              <w:spacing w:before="120"/>
            </w:pPr>
            <w:r w:rsidRPr="00CF69E4">
              <w:rPr>
                <w:b/>
                <w:bCs/>
              </w:rPr>
              <w:t>Angliai:</w:t>
            </w:r>
            <w:r w:rsidR="00CF69E4">
              <w:t xml:space="preserve">  </w:t>
            </w:r>
            <w:r>
              <w:t>ne blogiau kaip 0 – 100 %</w:t>
            </w:r>
            <w:r w:rsidR="003A62AD">
              <w:t xml:space="preserve"> (organiniam mėginiui)</w:t>
            </w:r>
          </w:p>
        </w:tc>
      </w:tr>
      <w:tr w:rsidR="00C45284" w14:paraId="66A324F1" w14:textId="77777777" w:rsidTr="0075436D">
        <w:tc>
          <w:tcPr>
            <w:tcW w:w="979" w:type="dxa"/>
          </w:tcPr>
          <w:p w14:paraId="510A26C8" w14:textId="2CDB65F2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6D0FA617" w14:textId="69DC9597" w:rsidR="00C45284" w:rsidRDefault="007B698F" w:rsidP="00AB7576">
            <w:pPr>
              <w:spacing w:before="120" w:after="120"/>
            </w:pPr>
            <w:r>
              <w:t>Aptikimo riba</w:t>
            </w:r>
          </w:p>
        </w:tc>
        <w:tc>
          <w:tcPr>
            <w:tcW w:w="7194" w:type="dxa"/>
          </w:tcPr>
          <w:p w14:paraId="689737EC" w14:textId="1EF4E395" w:rsidR="00881CD1" w:rsidRDefault="00881CD1" w:rsidP="00AB7576">
            <w:pPr>
              <w:spacing w:before="120" w:after="120"/>
            </w:pPr>
            <w:r>
              <w:t>Ne blogesn</w:t>
            </w:r>
            <w:r w:rsidR="005408DD">
              <w:t>ė</w:t>
            </w:r>
            <w:r>
              <w:t xml:space="preserve"> kaip</w:t>
            </w:r>
            <w:r w:rsidR="005408DD">
              <w:t xml:space="preserve"> 5 </w:t>
            </w:r>
            <w:proofErr w:type="spellStart"/>
            <w:r w:rsidR="005408DD">
              <w:rPr>
                <w:rFonts w:ascii="Calibri" w:hAnsi="Calibri" w:cs="Calibri"/>
              </w:rPr>
              <w:t>μ</w:t>
            </w:r>
            <w:r w:rsidR="005408DD">
              <w:t>g</w:t>
            </w:r>
            <w:proofErr w:type="spellEnd"/>
            <w:r w:rsidR="005408DD">
              <w:t>/L sierai</w:t>
            </w:r>
          </w:p>
          <w:p w14:paraId="0C63AAFB" w14:textId="2CC6420E" w:rsidR="009021BC" w:rsidRDefault="005408DD" w:rsidP="00AB7576">
            <w:pPr>
              <w:spacing w:before="120" w:after="120"/>
            </w:pPr>
            <w:r>
              <w:t xml:space="preserve">Ne blogesnė kaip 100 </w:t>
            </w:r>
            <w:proofErr w:type="spellStart"/>
            <w:r>
              <w:rPr>
                <w:rFonts w:ascii="Calibri" w:hAnsi="Calibri" w:cs="Calibri"/>
              </w:rPr>
              <w:t>μ</w:t>
            </w:r>
            <w:r>
              <w:t>g</w:t>
            </w:r>
            <w:proofErr w:type="spellEnd"/>
            <w:r>
              <w:t>/L angliai</w:t>
            </w:r>
          </w:p>
        </w:tc>
      </w:tr>
      <w:tr w:rsidR="00C45284" w14:paraId="3954AD32" w14:textId="77777777" w:rsidTr="0075436D">
        <w:tc>
          <w:tcPr>
            <w:tcW w:w="979" w:type="dxa"/>
          </w:tcPr>
          <w:p w14:paraId="33149995" w14:textId="41B5F9BF" w:rsidR="00C45284" w:rsidRPr="00992558" w:rsidRDefault="00C308DA" w:rsidP="001F44D0">
            <w:pPr>
              <w:numPr>
                <w:ilvl w:val="0"/>
                <w:numId w:val="4"/>
              </w:numPr>
              <w:spacing w:before="120" w:after="120"/>
            </w:pPr>
            <w:r>
              <w:t>.</w:t>
            </w:r>
          </w:p>
        </w:tc>
        <w:tc>
          <w:tcPr>
            <w:tcW w:w="1964" w:type="dxa"/>
          </w:tcPr>
          <w:p w14:paraId="0883AD83" w14:textId="4268C583" w:rsidR="00C45284" w:rsidRPr="00992558" w:rsidRDefault="00881CD1" w:rsidP="00AB7576">
            <w:pPr>
              <w:spacing w:before="120" w:after="120"/>
            </w:pPr>
            <w:r>
              <w:t xml:space="preserve">Garantija </w:t>
            </w:r>
          </w:p>
        </w:tc>
        <w:tc>
          <w:tcPr>
            <w:tcW w:w="7194" w:type="dxa"/>
          </w:tcPr>
          <w:p w14:paraId="3EA41F61" w14:textId="53F69BA5" w:rsidR="00C45284" w:rsidRPr="00992558" w:rsidRDefault="00881CD1" w:rsidP="00AB7576">
            <w:pPr>
              <w:spacing w:before="120" w:after="120"/>
            </w:pPr>
            <w:r>
              <w:t>Ne mažiau 12 mėnesių</w:t>
            </w:r>
          </w:p>
        </w:tc>
      </w:tr>
      <w:tr w:rsidR="00C45284" w14:paraId="2261DD42" w14:textId="77777777" w:rsidTr="0075436D">
        <w:tc>
          <w:tcPr>
            <w:tcW w:w="979" w:type="dxa"/>
          </w:tcPr>
          <w:p w14:paraId="2358DD57" w14:textId="05AFFB1B" w:rsidR="00C45284" w:rsidRPr="00992558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008532A8" w14:textId="26030EE7" w:rsidR="00C45284" w:rsidRPr="00992558" w:rsidRDefault="003553DA" w:rsidP="00AB7576">
            <w:pPr>
              <w:spacing w:before="120" w:after="120"/>
            </w:pPr>
            <w:r>
              <w:t>Programinė įranga</w:t>
            </w:r>
            <w:r w:rsidR="00881CD1">
              <w:t xml:space="preserve"> ir </w:t>
            </w:r>
            <w:r w:rsidR="002153E1">
              <w:t>priedai</w:t>
            </w:r>
          </w:p>
        </w:tc>
        <w:tc>
          <w:tcPr>
            <w:tcW w:w="7194" w:type="dxa"/>
          </w:tcPr>
          <w:p w14:paraId="10F50231" w14:textId="0BD877C8" w:rsidR="00C45284" w:rsidRPr="00992558" w:rsidRDefault="00AB304D" w:rsidP="00AB7576">
            <w:pPr>
              <w:spacing w:before="120" w:after="120"/>
            </w:pPr>
            <w:r>
              <w:t xml:space="preserve">Pateikti </w:t>
            </w:r>
            <w:r w:rsidR="002153E1">
              <w:t xml:space="preserve">kompiuterį su </w:t>
            </w:r>
            <w:r w:rsidR="00E271A6">
              <w:t xml:space="preserve">įrenginį valdančia </w:t>
            </w:r>
            <w:r w:rsidR="002153E1">
              <w:t>programine įranga</w:t>
            </w:r>
          </w:p>
        </w:tc>
      </w:tr>
      <w:tr w:rsidR="00C45284" w14:paraId="10574D18" w14:textId="77777777" w:rsidTr="0075436D">
        <w:tc>
          <w:tcPr>
            <w:tcW w:w="979" w:type="dxa"/>
          </w:tcPr>
          <w:p w14:paraId="0956EC67" w14:textId="4B40F973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1F71E896" w14:textId="779CFF16" w:rsidR="00C45284" w:rsidRDefault="00881CD1" w:rsidP="00AB7576">
            <w:pPr>
              <w:spacing w:before="120" w:after="120"/>
            </w:pPr>
            <w:r>
              <w:t>Tyrimo metodai</w:t>
            </w:r>
          </w:p>
        </w:tc>
        <w:tc>
          <w:tcPr>
            <w:tcW w:w="7194" w:type="dxa"/>
          </w:tcPr>
          <w:p w14:paraId="2066FCF5" w14:textId="77777777" w:rsidR="00C45284" w:rsidRDefault="000229F7" w:rsidP="00F61512">
            <w:pPr>
              <w:spacing w:before="120" w:after="120"/>
              <w:jc w:val="both"/>
            </w:pPr>
            <w:r>
              <w:t>ISO 20846</w:t>
            </w:r>
            <w:r w:rsidR="00F61512" w:rsidRPr="00F61512">
              <w:rPr>
                <w:rFonts w:ascii="Helvetica" w:hAnsi="Helvetica"/>
                <w:color w:val="888888"/>
                <w:sz w:val="20"/>
                <w:szCs w:val="20"/>
                <w:shd w:val="clear" w:color="auto" w:fill="FFFFFF"/>
              </w:rPr>
              <w:t xml:space="preserve"> </w:t>
            </w:r>
            <w:r w:rsidR="00F61512" w:rsidRPr="00F61512">
              <w:t>Naftos produktai. Sieros kiekio automobiliniuose degaluose nustatymas. Ultravioletinės fluorescencijos metodas</w:t>
            </w:r>
            <w:r>
              <w:t>.</w:t>
            </w:r>
          </w:p>
          <w:p w14:paraId="6FF475C7" w14:textId="0C1A2EC1" w:rsidR="00F61512" w:rsidRDefault="008B2704" w:rsidP="00F61512">
            <w:pPr>
              <w:spacing w:before="120" w:after="120"/>
              <w:jc w:val="both"/>
            </w:pPr>
            <w:r>
              <w:t>Bendro anglis kiekio nustatymas skystuose naftos produktuose.</w:t>
            </w:r>
          </w:p>
        </w:tc>
      </w:tr>
      <w:tr w:rsidR="00C45284" w14:paraId="03F080B2" w14:textId="77777777" w:rsidTr="0075436D">
        <w:tc>
          <w:tcPr>
            <w:tcW w:w="979" w:type="dxa"/>
          </w:tcPr>
          <w:p w14:paraId="35569B3A" w14:textId="16AE84ED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00353BE8" w14:textId="0C64DDEB" w:rsidR="00C45284" w:rsidRDefault="005169FE" w:rsidP="00AB7576">
            <w:pPr>
              <w:spacing w:before="120" w:after="120"/>
            </w:pPr>
            <w:r>
              <w:t>Eksploatacinės medžiagos ir standartai</w:t>
            </w:r>
          </w:p>
        </w:tc>
        <w:tc>
          <w:tcPr>
            <w:tcW w:w="7194" w:type="dxa"/>
          </w:tcPr>
          <w:p w14:paraId="1547F0E0" w14:textId="1153EE14" w:rsidR="00C45284" w:rsidRDefault="005169FE" w:rsidP="00AB7576">
            <w:pPr>
              <w:spacing w:before="120" w:after="120"/>
            </w:pPr>
            <w:r>
              <w:t xml:space="preserve">Būtina pateikti visas </w:t>
            </w:r>
            <w:r w:rsidR="00E179E3">
              <w:t>medžiagas ir standartus reikalingus įrenginio ir metod</w:t>
            </w:r>
            <w:r w:rsidR="00AA0528">
              <w:t>ų</w:t>
            </w:r>
            <w:r w:rsidR="00E179E3">
              <w:t xml:space="preserve"> pilnam įdiegimui ir darbuotojų apmokymui</w:t>
            </w:r>
            <w:r w:rsidR="005D4969">
              <w:t xml:space="preserve"> (</w:t>
            </w:r>
            <w:r w:rsidR="005D4969" w:rsidRPr="00CD43AD">
              <w:rPr>
                <w:rFonts w:eastAsia="Calibri"/>
              </w:rPr>
              <w:t>toki</w:t>
            </w:r>
            <w:r w:rsidR="005D4969">
              <w:rPr>
                <w:rFonts w:eastAsia="Calibri"/>
              </w:rPr>
              <w:t>os</w:t>
            </w:r>
            <w:r w:rsidR="005D4969" w:rsidRPr="00CD43AD">
              <w:rPr>
                <w:rFonts w:eastAsia="Calibri"/>
              </w:rPr>
              <w:t xml:space="preserve"> kaip </w:t>
            </w:r>
            <w:proofErr w:type="spellStart"/>
            <w:r w:rsidR="005D4969" w:rsidRPr="00CD43AD">
              <w:rPr>
                <w:rFonts w:eastAsia="Calibri"/>
              </w:rPr>
              <w:t>kalibraciniai</w:t>
            </w:r>
            <w:proofErr w:type="spellEnd"/>
            <w:r w:rsidR="005D4969" w:rsidRPr="00CD43AD">
              <w:rPr>
                <w:rFonts w:eastAsia="Calibri"/>
              </w:rPr>
              <w:t xml:space="preserve"> standartai, matavimo indeliai ir kiti reagentai (jeigu reikia), turi būti įtraukti </w:t>
            </w:r>
            <w:r w:rsidR="005D4969">
              <w:rPr>
                <w:rFonts w:eastAsia="Calibri"/>
              </w:rPr>
              <w:t>į</w:t>
            </w:r>
            <w:r w:rsidR="005D4969" w:rsidRPr="00CD43AD">
              <w:rPr>
                <w:rFonts w:eastAsia="Calibri"/>
              </w:rPr>
              <w:t xml:space="preserve"> </w:t>
            </w:r>
            <w:r w:rsidR="005D4969">
              <w:rPr>
                <w:rFonts w:eastAsia="Calibri"/>
              </w:rPr>
              <w:t>p</w:t>
            </w:r>
            <w:r w:rsidR="005D4969" w:rsidRPr="00CD43AD">
              <w:rPr>
                <w:rFonts w:eastAsia="Calibri"/>
              </w:rPr>
              <w:t>asiūlymą, ir j</w:t>
            </w:r>
            <w:r w:rsidR="005D4969">
              <w:rPr>
                <w:rFonts w:eastAsia="Calibri"/>
              </w:rPr>
              <w:t>ų</w:t>
            </w:r>
            <w:r w:rsidR="005D4969" w:rsidRPr="00CD43AD">
              <w:rPr>
                <w:rFonts w:eastAsia="Calibri"/>
              </w:rPr>
              <w:t xml:space="preserve"> turi pakakti bent 500 mėginių paruošimui ir matavimui.</w:t>
            </w:r>
            <w:r w:rsidR="005D4969">
              <w:t>)</w:t>
            </w:r>
          </w:p>
        </w:tc>
      </w:tr>
      <w:tr w:rsidR="00C45284" w14:paraId="6F2F2472" w14:textId="77777777" w:rsidTr="0075436D">
        <w:tc>
          <w:tcPr>
            <w:tcW w:w="979" w:type="dxa"/>
          </w:tcPr>
          <w:p w14:paraId="1C520148" w14:textId="402E2AE6" w:rsidR="00C45284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1964" w:type="dxa"/>
          </w:tcPr>
          <w:p w14:paraId="3C85DACD" w14:textId="3943B5EA" w:rsidR="00C45284" w:rsidRDefault="00E179E3" w:rsidP="00AB7576">
            <w:pPr>
              <w:spacing w:before="120" w:after="120"/>
            </w:pPr>
            <w:r>
              <w:t>Įrenginio įdiegimas ir apmokymas</w:t>
            </w:r>
          </w:p>
        </w:tc>
        <w:tc>
          <w:tcPr>
            <w:tcW w:w="7194" w:type="dxa"/>
          </w:tcPr>
          <w:p w14:paraId="7627C7F6" w14:textId="2C9A8266" w:rsidR="00C45284" w:rsidRDefault="00E179E3" w:rsidP="00AB7576">
            <w:pPr>
              <w:spacing w:before="120" w:after="120"/>
            </w:pPr>
            <w:r>
              <w:t>Būtina.</w:t>
            </w:r>
            <w:r w:rsidR="00AB304D">
              <w:t xml:space="preserve"> Laboratorijos personalo apmokymas dirbti įrenginiu matuojant standartus</w:t>
            </w:r>
            <w:r w:rsidR="00884F8F">
              <w:t xml:space="preserve"> ir realius mėginius</w:t>
            </w:r>
          </w:p>
        </w:tc>
      </w:tr>
    </w:tbl>
    <w:p w14:paraId="2BDB582B" w14:textId="77777777" w:rsidR="002321AA" w:rsidRDefault="002321AA" w:rsidP="002321AA">
      <w:pPr>
        <w:autoSpaceDE w:val="0"/>
        <w:autoSpaceDN w:val="0"/>
        <w:adjustRightInd w:val="0"/>
        <w:jc w:val="both"/>
      </w:pPr>
    </w:p>
    <w:sectPr w:rsidR="002321AA" w:rsidSect="00697760">
      <w:pgSz w:w="11906" w:h="16838"/>
      <w:pgMar w:top="426" w:right="567" w:bottom="567" w:left="1418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ramondTT-Regular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CC6"/>
    <w:multiLevelType w:val="hybridMultilevel"/>
    <w:tmpl w:val="3B1AD5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9922DD"/>
    <w:multiLevelType w:val="hybridMultilevel"/>
    <w:tmpl w:val="58F07444"/>
    <w:lvl w:ilvl="0" w:tplc="042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4CC032A4"/>
    <w:multiLevelType w:val="hybridMultilevel"/>
    <w:tmpl w:val="D654D8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44493"/>
    <w:multiLevelType w:val="multilevel"/>
    <w:tmpl w:val="36FA88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7316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70127">
    <w:abstractNumId w:val="1"/>
  </w:num>
  <w:num w:numId="3" w16cid:durableId="2123835593">
    <w:abstractNumId w:val="0"/>
  </w:num>
  <w:num w:numId="4" w16cid:durableId="193312634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18"/>
    <w:rsid w:val="00002D86"/>
    <w:rsid w:val="00005D1D"/>
    <w:rsid w:val="000163A7"/>
    <w:rsid w:val="000167F3"/>
    <w:rsid w:val="000229F7"/>
    <w:rsid w:val="00023BD0"/>
    <w:rsid w:val="00044183"/>
    <w:rsid w:val="00046046"/>
    <w:rsid w:val="00052433"/>
    <w:rsid w:val="00063F03"/>
    <w:rsid w:val="00083E86"/>
    <w:rsid w:val="000854A6"/>
    <w:rsid w:val="00092C03"/>
    <w:rsid w:val="000948C2"/>
    <w:rsid w:val="000967AF"/>
    <w:rsid w:val="000A2CB3"/>
    <w:rsid w:val="000B3AC5"/>
    <w:rsid w:val="000B55E7"/>
    <w:rsid w:val="000C2637"/>
    <w:rsid w:val="000E5AC7"/>
    <w:rsid w:val="000F11E0"/>
    <w:rsid w:val="000F2463"/>
    <w:rsid w:val="00102BA2"/>
    <w:rsid w:val="00121F2C"/>
    <w:rsid w:val="0012334E"/>
    <w:rsid w:val="00127105"/>
    <w:rsid w:val="001275F0"/>
    <w:rsid w:val="0013020D"/>
    <w:rsid w:val="001323AC"/>
    <w:rsid w:val="0015411E"/>
    <w:rsid w:val="0016144C"/>
    <w:rsid w:val="00170A8A"/>
    <w:rsid w:val="001B63F8"/>
    <w:rsid w:val="001B7E98"/>
    <w:rsid w:val="001D0745"/>
    <w:rsid w:val="001E4538"/>
    <w:rsid w:val="001E4D98"/>
    <w:rsid w:val="001F44D0"/>
    <w:rsid w:val="001F6BB2"/>
    <w:rsid w:val="001F7A0D"/>
    <w:rsid w:val="002153E1"/>
    <w:rsid w:val="00231E20"/>
    <w:rsid w:val="002321AA"/>
    <w:rsid w:val="0025102E"/>
    <w:rsid w:val="0026209D"/>
    <w:rsid w:val="00265B94"/>
    <w:rsid w:val="002709FE"/>
    <w:rsid w:val="00272C0F"/>
    <w:rsid w:val="00280641"/>
    <w:rsid w:val="00295104"/>
    <w:rsid w:val="002A1155"/>
    <w:rsid w:val="002A1992"/>
    <w:rsid w:val="002B13A1"/>
    <w:rsid w:val="002B424C"/>
    <w:rsid w:val="002D4905"/>
    <w:rsid w:val="002E5945"/>
    <w:rsid w:val="002E6675"/>
    <w:rsid w:val="002F2165"/>
    <w:rsid w:val="003056C7"/>
    <w:rsid w:val="00313C19"/>
    <w:rsid w:val="00341629"/>
    <w:rsid w:val="00351A33"/>
    <w:rsid w:val="00354205"/>
    <w:rsid w:val="003553DA"/>
    <w:rsid w:val="0035645A"/>
    <w:rsid w:val="00367D3B"/>
    <w:rsid w:val="00371772"/>
    <w:rsid w:val="00372E7D"/>
    <w:rsid w:val="00376A2F"/>
    <w:rsid w:val="00385206"/>
    <w:rsid w:val="003874D2"/>
    <w:rsid w:val="003A4C77"/>
    <w:rsid w:val="003A62AD"/>
    <w:rsid w:val="003B0374"/>
    <w:rsid w:val="003B540E"/>
    <w:rsid w:val="003D3D40"/>
    <w:rsid w:val="003D787C"/>
    <w:rsid w:val="003E2D7B"/>
    <w:rsid w:val="003F11C9"/>
    <w:rsid w:val="003F3A54"/>
    <w:rsid w:val="00413C09"/>
    <w:rsid w:val="00416759"/>
    <w:rsid w:val="00420EB4"/>
    <w:rsid w:val="004432C3"/>
    <w:rsid w:val="00461AF6"/>
    <w:rsid w:val="004703CE"/>
    <w:rsid w:val="00482DB8"/>
    <w:rsid w:val="004853EB"/>
    <w:rsid w:val="004953B6"/>
    <w:rsid w:val="00496182"/>
    <w:rsid w:val="004B0DFF"/>
    <w:rsid w:val="004B18C7"/>
    <w:rsid w:val="004D4809"/>
    <w:rsid w:val="004E0B60"/>
    <w:rsid w:val="00502DBC"/>
    <w:rsid w:val="005169FE"/>
    <w:rsid w:val="00521A89"/>
    <w:rsid w:val="005270EF"/>
    <w:rsid w:val="005313B7"/>
    <w:rsid w:val="005408DD"/>
    <w:rsid w:val="005447F0"/>
    <w:rsid w:val="00555364"/>
    <w:rsid w:val="005606A1"/>
    <w:rsid w:val="00564E75"/>
    <w:rsid w:val="00591DD4"/>
    <w:rsid w:val="0059350C"/>
    <w:rsid w:val="005A2648"/>
    <w:rsid w:val="005B1EB9"/>
    <w:rsid w:val="005B7951"/>
    <w:rsid w:val="005C26D4"/>
    <w:rsid w:val="005C6027"/>
    <w:rsid w:val="005D4969"/>
    <w:rsid w:val="005F1E78"/>
    <w:rsid w:val="00600461"/>
    <w:rsid w:val="00603BEE"/>
    <w:rsid w:val="00613AB9"/>
    <w:rsid w:val="00643CD1"/>
    <w:rsid w:val="00653460"/>
    <w:rsid w:val="00663D85"/>
    <w:rsid w:val="0067039C"/>
    <w:rsid w:val="00670F79"/>
    <w:rsid w:val="006751C2"/>
    <w:rsid w:val="00680E6E"/>
    <w:rsid w:val="00685A8B"/>
    <w:rsid w:val="00697760"/>
    <w:rsid w:val="006A35B6"/>
    <w:rsid w:val="006A44C9"/>
    <w:rsid w:val="006C0A0E"/>
    <w:rsid w:val="006C4526"/>
    <w:rsid w:val="006D1762"/>
    <w:rsid w:val="006F2B52"/>
    <w:rsid w:val="006F7446"/>
    <w:rsid w:val="0070018E"/>
    <w:rsid w:val="00734061"/>
    <w:rsid w:val="007367AC"/>
    <w:rsid w:val="007477B2"/>
    <w:rsid w:val="007533A6"/>
    <w:rsid w:val="0075436D"/>
    <w:rsid w:val="00755739"/>
    <w:rsid w:val="00755838"/>
    <w:rsid w:val="00765280"/>
    <w:rsid w:val="00766939"/>
    <w:rsid w:val="00780595"/>
    <w:rsid w:val="00784076"/>
    <w:rsid w:val="00785D58"/>
    <w:rsid w:val="007915F4"/>
    <w:rsid w:val="0079623F"/>
    <w:rsid w:val="007A7ACD"/>
    <w:rsid w:val="007B698F"/>
    <w:rsid w:val="007C0653"/>
    <w:rsid w:val="007C3389"/>
    <w:rsid w:val="007C3A02"/>
    <w:rsid w:val="007C3BDD"/>
    <w:rsid w:val="007C6834"/>
    <w:rsid w:val="007D40B4"/>
    <w:rsid w:val="007E3404"/>
    <w:rsid w:val="007F4F9D"/>
    <w:rsid w:val="008019AA"/>
    <w:rsid w:val="008160C1"/>
    <w:rsid w:val="00825566"/>
    <w:rsid w:val="00837B6A"/>
    <w:rsid w:val="00841453"/>
    <w:rsid w:val="00841701"/>
    <w:rsid w:val="00844164"/>
    <w:rsid w:val="008527B4"/>
    <w:rsid w:val="0086690D"/>
    <w:rsid w:val="00873362"/>
    <w:rsid w:val="00873E77"/>
    <w:rsid w:val="00881CD1"/>
    <w:rsid w:val="00884F8F"/>
    <w:rsid w:val="00886A57"/>
    <w:rsid w:val="00890479"/>
    <w:rsid w:val="00890D2A"/>
    <w:rsid w:val="008A62B4"/>
    <w:rsid w:val="008B2704"/>
    <w:rsid w:val="008B381C"/>
    <w:rsid w:val="008B6AFE"/>
    <w:rsid w:val="008C3D9F"/>
    <w:rsid w:val="008C7CC9"/>
    <w:rsid w:val="008D5351"/>
    <w:rsid w:val="008E07BA"/>
    <w:rsid w:val="008E41ED"/>
    <w:rsid w:val="008F06B1"/>
    <w:rsid w:val="008F1680"/>
    <w:rsid w:val="009021BC"/>
    <w:rsid w:val="009051A6"/>
    <w:rsid w:val="00912097"/>
    <w:rsid w:val="00921BF7"/>
    <w:rsid w:val="0092418E"/>
    <w:rsid w:val="00933AC8"/>
    <w:rsid w:val="00941E78"/>
    <w:rsid w:val="0094294C"/>
    <w:rsid w:val="00942F96"/>
    <w:rsid w:val="00954009"/>
    <w:rsid w:val="00963715"/>
    <w:rsid w:val="00965C1D"/>
    <w:rsid w:val="00967996"/>
    <w:rsid w:val="00971EBE"/>
    <w:rsid w:val="009741A0"/>
    <w:rsid w:val="0097515A"/>
    <w:rsid w:val="009805A7"/>
    <w:rsid w:val="009832FD"/>
    <w:rsid w:val="0099463D"/>
    <w:rsid w:val="009A0AC7"/>
    <w:rsid w:val="009B0E14"/>
    <w:rsid w:val="009C2D0B"/>
    <w:rsid w:val="009D7006"/>
    <w:rsid w:val="009F4BD8"/>
    <w:rsid w:val="009F7F48"/>
    <w:rsid w:val="00A02581"/>
    <w:rsid w:val="00A02E65"/>
    <w:rsid w:val="00A37CEB"/>
    <w:rsid w:val="00A40093"/>
    <w:rsid w:val="00A4580F"/>
    <w:rsid w:val="00A5489A"/>
    <w:rsid w:val="00A6042F"/>
    <w:rsid w:val="00A63082"/>
    <w:rsid w:val="00A66C99"/>
    <w:rsid w:val="00A743BB"/>
    <w:rsid w:val="00A76896"/>
    <w:rsid w:val="00A76A57"/>
    <w:rsid w:val="00A93AE3"/>
    <w:rsid w:val="00A95D82"/>
    <w:rsid w:val="00A95E32"/>
    <w:rsid w:val="00AA0133"/>
    <w:rsid w:val="00AA0528"/>
    <w:rsid w:val="00AA5328"/>
    <w:rsid w:val="00AB304D"/>
    <w:rsid w:val="00AB4A7F"/>
    <w:rsid w:val="00AB7576"/>
    <w:rsid w:val="00AD0E98"/>
    <w:rsid w:val="00AD417C"/>
    <w:rsid w:val="00AE129B"/>
    <w:rsid w:val="00AE2EC9"/>
    <w:rsid w:val="00AE69AF"/>
    <w:rsid w:val="00B1069E"/>
    <w:rsid w:val="00B15923"/>
    <w:rsid w:val="00B313F9"/>
    <w:rsid w:val="00B51E92"/>
    <w:rsid w:val="00B5483C"/>
    <w:rsid w:val="00B548CC"/>
    <w:rsid w:val="00B554D4"/>
    <w:rsid w:val="00B56AEC"/>
    <w:rsid w:val="00B574BD"/>
    <w:rsid w:val="00B62942"/>
    <w:rsid w:val="00B77311"/>
    <w:rsid w:val="00B80351"/>
    <w:rsid w:val="00B84245"/>
    <w:rsid w:val="00B92000"/>
    <w:rsid w:val="00BA06CE"/>
    <w:rsid w:val="00BA6D49"/>
    <w:rsid w:val="00BB5414"/>
    <w:rsid w:val="00BB55BF"/>
    <w:rsid w:val="00BC0B92"/>
    <w:rsid w:val="00BE723C"/>
    <w:rsid w:val="00C039C5"/>
    <w:rsid w:val="00C07EBA"/>
    <w:rsid w:val="00C21580"/>
    <w:rsid w:val="00C25776"/>
    <w:rsid w:val="00C308DA"/>
    <w:rsid w:val="00C439D7"/>
    <w:rsid w:val="00C45284"/>
    <w:rsid w:val="00C72BC9"/>
    <w:rsid w:val="00C857B5"/>
    <w:rsid w:val="00C92C73"/>
    <w:rsid w:val="00C9586D"/>
    <w:rsid w:val="00CA14DC"/>
    <w:rsid w:val="00CA3DD4"/>
    <w:rsid w:val="00CA6B87"/>
    <w:rsid w:val="00CB483D"/>
    <w:rsid w:val="00CB57BB"/>
    <w:rsid w:val="00CB6AB4"/>
    <w:rsid w:val="00CC143D"/>
    <w:rsid w:val="00CC3983"/>
    <w:rsid w:val="00CC74BB"/>
    <w:rsid w:val="00CE1630"/>
    <w:rsid w:val="00CE4B3F"/>
    <w:rsid w:val="00CF0DC2"/>
    <w:rsid w:val="00CF1E37"/>
    <w:rsid w:val="00CF69E4"/>
    <w:rsid w:val="00D00DD7"/>
    <w:rsid w:val="00D0537D"/>
    <w:rsid w:val="00D1224D"/>
    <w:rsid w:val="00D1304D"/>
    <w:rsid w:val="00D26008"/>
    <w:rsid w:val="00D3386F"/>
    <w:rsid w:val="00D3653C"/>
    <w:rsid w:val="00D72E18"/>
    <w:rsid w:val="00D93061"/>
    <w:rsid w:val="00DF7CC7"/>
    <w:rsid w:val="00E13D6E"/>
    <w:rsid w:val="00E179E3"/>
    <w:rsid w:val="00E271A6"/>
    <w:rsid w:val="00E43550"/>
    <w:rsid w:val="00E5251A"/>
    <w:rsid w:val="00E80178"/>
    <w:rsid w:val="00E918BE"/>
    <w:rsid w:val="00E921E2"/>
    <w:rsid w:val="00EA46C3"/>
    <w:rsid w:val="00EB6A43"/>
    <w:rsid w:val="00EC141B"/>
    <w:rsid w:val="00EC3094"/>
    <w:rsid w:val="00ED2CA4"/>
    <w:rsid w:val="00ED430D"/>
    <w:rsid w:val="00EF4C45"/>
    <w:rsid w:val="00F0489C"/>
    <w:rsid w:val="00F109A2"/>
    <w:rsid w:val="00F30FAF"/>
    <w:rsid w:val="00F35B45"/>
    <w:rsid w:val="00F61512"/>
    <w:rsid w:val="00F64C1A"/>
    <w:rsid w:val="00F67E70"/>
    <w:rsid w:val="00FA3DBB"/>
    <w:rsid w:val="00FA6AB3"/>
    <w:rsid w:val="00FC642A"/>
    <w:rsid w:val="00FD537B"/>
    <w:rsid w:val="00FE13AE"/>
    <w:rsid w:val="00FE32D3"/>
    <w:rsid w:val="00FF3461"/>
    <w:rsid w:val="00FF36E2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2F3FE"/>
  <w15:chartTrackingRefBased/>
  <w15:docId w15:val="{24B535D9-3089-49D8-9CC9-B2B74F59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pPr>
      <w:spacing w:before="100" w:beforeAutospacing="1" w:after="100" w:afterAutospacing="1"/>
    </w:pPr>
    <w:rPr>
      <w:lang w:eastAsia="lt-LT"/>
    </w:rPr>
  </w:style>
  <w:style w:type="paragraph" w:styleId="BodyText">
    <w:name w:val="Body Text"/>
    <w:basedOn w:val="Normal"/>
    <w:rPr>
      <w:color w:val="333333"/>
      <w:szCs w:val="16"/>
    </w:rPr>
  </w:style>
  <w:style w:type="paragraph" w:styleId="NormalIndent">
    <w:name w:val="Normal Indent"/>
    <w:basedOn w:val="Normal"/>
    <w:pPr>
      <w:ind w:left="720"/>
    </w:pPr>
    <w:rPr>
      <w:rFonts w:ascii="HelveticaLT" w:hAnsi="HelveticaLT"/>
      <w:szCs w:val="20"/>
      <w:lang w:val="en-GB"/>
    </w:rPr>
  </w:style>
  <w:style w:type="character" w:customStyle="1" w:styleId="Skaita">
    <w:name w:val="Skaita"/>
    <w:rPr>
      <w:rFonts w:ascii="Courier New" w:hAnsi="Courier New"/>
      <w:b/>
      <w:sz w:val="17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after="120"/>
      <w:jc w:val="both"/>
    </w:pPr>
    <w:rPr>
      <w:sz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6"/>
    </w:pPr>
    <w:rPr>
      <w:bCs/>
    </w:rPr>
  </w:style>
  <w:style w:type="paragraph" w:styleId="BalloonText">
    <w:name w:val="Balloon Text"/>
    <w:basedOn w:val="Normal"/>
    <w:link w:val="BalloonTextChar"/>
    <w:rsid w:val="0096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71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11,List Paragr1,List Paragraph1,Lentele,List Paragraph22"/>
    <w:basedOn w:val="Normal"/>
    <w:link w:val="ListParagraphChar"/>
    <w:uiPriority w:val="34"/>
    <w:qFormat/>
    <w:rsid w:val="00A4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eigos">
    <w:name w:val="Pareigos"/>
    <w:basedOn w:val="Normal"/>
    <w:rsid w:val="002321AA"/>
    <w:pPr>
      <w:spacing w:before="480"/>
    </w:pPr>
    <w:rPr>
      <w:rFonts w:ascii="HelveticaLT" w:hAnsi="HelveticaLT"/>
      <w:szCs w:val="20"/>
      <w:lang w:val="en-GB"/>
    </w:rPr>
  </w:style>
  <w:style w:type="table" w:styleId="TableGrid">
    <w:name w:val="Table Grid"/>
    <w:basedOn w:val="TableNormal"/>
    <w:uiPriority w:val="59"/>
    <w:rsid w:val="0049618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1 Char"/>
    <w:link w:val="ListParagraph"/>
    <w:uiPriority w:val="34"/>
    <w:locked/>
    <w:rsid w:val="00496182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45284"/>
    <w:pPr>
      <w:tabs>
        <w:tab w:val="center" w:pos="4536"/>
        <w:tab w:val="right" w:pos="9072"/>
      </w:tabs>
    </w:pPr>
    <w:rPr>
      <w:rFonts w:ascii="AGaramondTT-Regular" w:hAnsi="AGaramondTT-Regular"/>
      <w:szCs w:val="20"/>
      <w:lang w:val="en-GB" w:eastAsia="sv-SE"/>
    </w:rPr>
  </w:style>
  <w:style w:type="character" w:customStyle="1" w:styleId="HeaderChar">
    <w:name w:val="Header Char"/>
    <w:link w:val="Header"/>
    <w:rsid w:val="00C45284"/>
    <w:rPr>
      <w:rFonts w:ascii="AGaramondTT-Regular" w:hAnsi="AGaramondTT-Regular"/>
      <w:sz w:val="24"/>
      <w:lang w:val="en-GB" w:eastAsia="sv-SE"/>
    </w:rPr>
  </w:style>
  <w:style w:type="paragraph" w:styleId="Revision">
    <w:name w:val="Revision"/>
    <w:hidden/>
    <w:uiPriority w:val="99"/>
    <w:semiHidden/>
    <w:rsid w:val="00B574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Chromatographic Systems</vt:lpstr>
      <vt:lpstr>Chromatographic Systems</vt:lpstr>
    </vt:vector>
  </TitlesOfParts>
  <Company>Lokmis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Chromatographic Systems</dc:title>
  <dc:subject/>
  <dc:creator>Lokmis</dc:creator>
  <cp:keywords/>
  <cp:lastModifiedBy>Laima Kamandulienė</cp:lastModifiedBy>
  <cp:revision>2</cp:revision>
  <cp:lastPrinted>2015-09-28T12:36:00Z</cp:lastPrinted>
  <dcterms:created xsi:type="dcterms:W3CDTF">2026-03-26T05:33:00Z</dcterms:created>
  <dcterms:modified xsi:type="dcterms:W3CDTF">2026-03-26T05:33:00Z</dcterms:modified>
</cp:coreProperties>
</file>