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F5A0" w14:textId="77777777" w:rsidR="007A05EF" w:rsidRPr="0062080D" w:rsidRDefault="007A05EF" w:rsidP="0054127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5346F03D" w14:textId="77777777" w:rsidR="007A05EF" w:rsidRPr="001F7D17" w:rsidRDefault="007A05EF" w:rsidP="0054127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F7D17">
        <w:rPr>
          <w:rFonts w:ascii="Times New Roman" w:hAnsi="Times New Roman"/>
          <w:b/>
          <w:sz w:val="28"/>
          <w:szCs w:val="24"/>
        </w:rPr>
        <w:t>TECHNINĖ SPECIFIKACIJA</w:t>
      </w:r>
    </w:p>
    <w:p w14:paraId="637B2A67" w14:textId="77777777" w:rsidR="007A05EF" w:rsidRPr="001F7D17" w:rsidRDefault="007A05EF" w:rsidP="0054127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7168DE2" w14:textId="2C22934D" w:rsidR="007A05EF" w:rsidRPr="001F7D17" w:rsidRDefault="007A05EF" w:rsidP="005F7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17">
        <w:rPr>
          <w:rFonts w:ascii="Times New Roman" w:hAnsi="Times New Roman"/>
          <w:sz w:val="24"/>
          <w:szCs w:val="24"/>
        </w:rPr>
        <w:t xml:space="preserve">Siekiant užtikrinti </w:t>
      </w:r>
      <w:r w:rsidR="003855A8" w:rsidRPr="001F7D17">
        <w:rPr>
          <w:rFonts w:ascii="Times New Roman" w:hAnsi="Times New Roman"/>
          <w:sz w:val="24"/>
          <w:szCs w:val="24"/>
        </w:rPr>
        <w:t xml:space="preserve">teismų poreikius vykdyti nuotolines vaizdo konferencijas </w:t>
      </w:r>
      <w:r w:rsidR="00467C50" w:rsidRPr="001F7D17">
        <w:rPr>
          <w:rFonts w:ascii="Times New Roman" w:hAnsi="Times New Roman"/>
          <w:sz w:val="24"/>
          <w:szCs w:val="24"/>
        </w:rPr>
        <w:t>t</w:t>
      </w:r>
      <w:r w:rsidR="003855A8" w:rsidRPr="001F7D17">
        <w:rPr>
          <w:rFonts w:ascii="Times New Roman" w:hAnsi="Times New Roman"/>
          <w:sz w:val="24"/>
          <w:szCs w:val="24"/>
        </w:rPr>
        <w:t>eismų viduje, organizuojant žodinius teismo posėdžius</w:t>
      </w:r>
      <w:r w:rsidR="00467C50" w:rsidRPr="001F7D17">
        <w:rPr>
          <w:rFonts w:ascii="Times New Roman" w:hAnsi="Times New Roman"/>
          <w:sz w:val="24"/>
          <w:szCs w:val="24"/>
        </w:rPr>
        <w:t xml:space="preserve"> tarp įvairių proceso šalių</w:t>
      </w:r>
      <w:r w:rsidR="005A7869" w:rsidRPr="001F7D17">
        <w:rPr>
          <w:rFonts w:ascii="Times New Roman" w:hAnsi="Times New Roman"/>
          <w:sz w:val="24"/>
          <w:szCs w:val="24"/>
        </w:rPr>
        <w:t>,</w:t>
      </w:r>
      <w:r w:rsidR="00467C50" w:rsidRPr="001F7D17">
        <w:rPr>
          <w:rFonts w:ascii="Times New Roman" w:hAnsi="Times New Roman"/>
          <w:sz w:val="24"/>
          <w:szCs w:val="24"/>
        </w:rPr>
        <w:t xml:space="preserve"> bei organizuoti Teisėjų tarybos ir komisijų nuotolinius posėdžius, kuriuos organizuoja Nacionalinė teismų administracija</w:t>
      </w:r>
      <w:r w:rsidR="00055C63" w:rsidRPr="001F7D17">
        <w:rPr>
          <w:rFonts w:ascii="Times New Roman" w:hAnsi="Times New Roman"/>
          <w:sz w:val="24"/>
          <w:szCs w:val="24"/>
        </w:rPr>
        <w:t xml:space="preserve"> (toliau – ir Administracija, Perkančioji organizacija)</w:t>
      </w:r>
      <w:r w:rsidR="005A7869" w:rsidRPr="001F7D17">
        <w:rPr>
          <w:rFonts w:ascii="Times New Roman" w:hAnsi="Times New Roman"/>
          <w:sz w:val="24"/>
          <w:szCs w:val="24"/>
        </w:rPr>
        <w:t>,</w:t>
      </w:r>
      <w:r w:rsidR="00467C50" w:rsidRPr="001F7D17">
        <w:rPr>
          <w:rFonts w:ascii="Times New Roman" w:hAnsi="Times New Roman"/>
          <w:sz w:val="24"/>
          <w:szCs w:val="24"/>
        </w:rPr>
        <w:t xml:space="preserve"> </w:t>
      </w:r>
      <w:r w:rsidRPr="001F7D17">
        <w:rPr>
          <w:rFonts w:ascii="Times New Roman" w:hAnsi="Times New Roman"/>
          <w:sz w:val="24"/>
          <w:szCs w:val="24"/>
        </w:rPr>
        <w:t xml:space="preserve">šiuo pirkimu siekiama </w:t>
      </w:r>
      <w:r w:rsidR="00FA1AC2" w:rsidRPr="001F7D17">
        <w:rPr>
          <w:rFonts w:ascii="Times New Roman" w:hAnsi="Times New Roman"/>
          <w:sz w:val="24"/>
          <w:szCs w:val="24"/>
        </w:rPr>
        <w:t xml:space="preserve">įsigyti </w:t>
      </w:r>
      <w:r w:rsidR="00EB7971" w:rsidRPr="001F7D17">
        <w:rPr>
          <w:rFonts w:ascii="Times New Roman" w:hAnsi="Times New Roman"/>
          <w:sz w:val="24"/>
          <w:szCs w:val="24"/>
        </w:rPr>
        <w:t xml:space="preserve">Perkančiosios organizacijos turimo </w:t>
      </w:r>
      <w:r w:rsidR="003855A8" w:rsidRPr="001F7D17">
        <w:rPr>
          <w:rFonts w:ascii="Times New Roman" w:hAnsi="Times New Roman"/>
          <w:sz w:val="24"/>
          <w:szCs w:val="24"/>
        </w:rPr>
        <w:t>nuotolin</w:t>
      </w:r>
      <w:r w:rsidR="003B43BB" w:rsidRPr="001F7D17">
        <w:rPr>
          <w:rFonts w:ascii="Times New Roman" w:hAnsi="Times New Roman"/>
          <w:sz w:val="24"/>
          <w:szCs w:val="24"/>
        </w:rPr>
        <w:t>io</w:t>
      </w:r>
      <w:r w:rsidR="003855A8" w:rsidRPr="001F7D17">
        <w:rPr>
          <w:rFonts w:ascii="Times New Roman" w:hAnsi="Times New Roman"/>
          <w:sz w:val="24"/>
          <w:szCs w:val="24"/>
        </w:rPr>
        <w:t xml:space="preserve"> </w:t>
      </w:r>
      <w:r w:rsidR="003C48F4" w:rsidRPr="001F7D17">
        <w:rPr>
          <w:rFonts w:ascii="Times New Roman" w:hAnsi="Times New Roman"/>
          <w:sz w:val="24"/>
          <w:szCs w:val="24"/>
        </w:rPr>
        <w:t>bendradarbiavimo įrankio</w:t>
      </w:r>
      <w:r w:rsidR="003855A8" w:rsidRPr="001F7D17">
        <w:rPr>
          <w:rFonts w:ascii="Times New Roman" w:hAnsi="Times New Roman"/>
          <w:sz w:val="24"/>
          <w:szCs w:val="24"/>
        </w:rPr>
        <w:t xml:space="preserve"> </w:t>
      </w:r>
      <w:r w:rsidR="003C48F4" w:rsidRPr="001F7D17">
        <w:rPr>
          <w:rFonts w:ascii="Times New Roman" w:hAnsi="Times New Roman"/>
          <w:sz w:val="24"/>
          <w:szCs w:val="24"/>
        </w:rPr>
        <w:t xml:space="preserve">(vaizdas ir garsas, kompiuterio turinio rodymas ir susirašinėjimas) </w:t>
      </w:r>
      <w:r w:rsidR="003B7F12" w:rsidRPr="001F7D17">
        <w:rPr>
          <w:rFonts w:ascii="Times New Roman" w:hAnsi="Times New Roman"/>
          <w:sz w:val="24"/>
          <w:szCs w:val="24"/>
        </w:rPr>
        <w:t>licencijas,</w:t>
      </w:r>
      <w:r w:rsidRPr="001F7D17">
        <w:rPr>
          <w:rFonts w:ascii="Times New Roman" w:hAnsi="Times New Roman"/>
          <w:sz w:val="24"/>
          <w:szCs w:val="24"/>
        </w:rPr>
        <w:t xml:space="preserve"> skirt</w:t>
      </w:r>
      <w:r w:rsidR="003B7F12" w:rsidRPr="001F7D17">
        <w:rPr>
          <w:rFonts w:ascii="Times New Roman" w:hAnsi="Times New Roman"/>
          <w:sz w:val="24"/>
          <w:szCs w:val="24"/>
        </w:rPr>
        <w:t>as</w:t>
      </w:r>
      <w:r w:rsidRPr="001F7D17">
        <w:rPr>
          <w:rFonts w:ascii="Times New Roman" w:hAnsi="Times New Roman"/>
          <w:sz w:val="24"/>
          <w:szCs w:val="24"/>
        </w:rPr>
        <w:t xml:space="preserve"> </w:t>
      </w:r>
      <w:r w:rsidR="00055C63" w:rsidRPr="001F7D17">
        <w:rPr>
          <w:rFonts w:ascii="Times New Roman" w:hAnsi="Times New Roman"/>
          <w:sz w:val="24"/>
          <w:szCs w:val="24"/>
        </w:rPr>
        <w:t>A</w:t>
      </w:r>
      <w:r w:rsidRPr="001F7D17">
        <w:rPr>
          <w:rFonts w:ascii="Times New Roman" w:hAnsi="Times New Roman"/>
          <w:sz w:val="24"/>
          <w:szCs w:val="24"/>
        </w:rPr>
        <w:t xml:space="preserve">dministracijai  ir Lietuvos Respublikos teismams. </w:t>
      </w:r>
    </w:p>
    <w:p w14:paraId="074DD020" w14:textId="77777777" w:rsidR="007A05EF" w:rsidRPr="001F7D17" w:rsidRDefault="007A05EF" w:rsidP="0054127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05"/>
        <w:gridCol w:w="4790"/>
        <w:gridCol w:w="2786"/>
      </w:tblGrid>
      <w:tr w:rsidR="005B3493" w:rsidRPr="001F7D17" w14:paraId="0D35586A" w14:textId="77777777" w:rsidTr="00523850">
        <w:tc>
          <w:tcPr>
            <w:tcW w:w="704" w:type="dxa"/>
            <w:vAlign w:val="center"/>
          </w:tcPr>
          <w:p w14:paraId="693E7AFC" w14:textId="77777777" w:rsidR="007A05EF" w:rsidRPr="001F7D17" w:rsidRDefault="007A05EF" w:rsidP="00EE5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D1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05" w:type="dxa"/>
            <w:vAlign w:val="center"/>
          </w:tcPr>
          <w:p w14:paraId="4A567ED5" w14:textId="77777777" w:rsidR="007A05EF" w:rsidRPr="001F7D17" w:rsidRDefault="007A05EF" w:rsidP="00EE5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D17">
              <w:rPr>
                <w:rFonts w:ascii="Times New Roman" w:hAnsi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4790" w:type="dxa"/>
            <w:vAlign w:val="center"/>
          </w:tcPr>
          <w:p w14:paraId="59E79C21" w14:textId="77777777" w:rsidR="007A05EF" w:rsidRPr="001F7D17" w:rsidRDefault="007A05EF" w:rsidP="00EE5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D17">
              <w:rPr>
                <w:rFonts w:ascii="Times New Roman" w:hAnsi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2786" w:type="dxa"/>
            <w:vAlign w:val="center"/>
          </w:tcPr>
          <w:p w14:paraId="255D73EF" w14:textId="3A32B424" w:rsidR="007A05EF" w:rsidRPr="001F7D17" w:rsidRDefault="007A05EF" w:rsidP="008E6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D17">
              <w:rPr>
                <w:rFonts w:ascii="Times New Roman" w:hAnsi="Times New Roman"/>
                <w:b/>
                <w:sz w:val="24"/>
                <w:szCs w:val="24"/>
              </w:rPr>
              <w:t>Siūlomos parametrų reikšmės</w:t>
            </w:r>
            <w:r w:rsidR="005913F6" w:rsidRPr="001F7D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6DA5" w:rsidRPr="001F7D1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E6DA5" w:rsidRPr="001F7D17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privaloma išsamiai aprašyti siūlomą parametrą)</w:t>
            </w:r>
          </w:p>
        </w:tc>
      </w:tr>
      <w:tr w:rsidR="005B3493" w:rsidRPr="001F7D17" w14:paraId="2D2B1E73" w14:textId="77777777" w:rsidTr="00523850">
        <w:trPr>
          <w:trHeight w:val="410"/>
        </w:trPr>
        <w:tc>
          <w:tcPr>
            <w:tcW w:w="704" w:type="dxa"/>
          </w:tcPr>
          <w:p w14:paraId="0D10F301" w14:textId="6C183CC5" w:rsidR="007A05EF" w:rsidRPr="001F7D17" w:rsidRDefault="00DD24FC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</w:t>
            </w:r>
            <w:r w:rsidR="00FA1AC2" w:rsidRPr="001F7D17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205" w:type="dxa"/>
          </w:tcPr>
          <w:p w14:paraId="5E47301F" w14:textId="035769B7" w:rsidR="007A05EF" w:rsidRPr="001F7D17" w:rsidRDefault="003B7F12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Licencijų</w:t>
            </w:r>
            <w:r w:rsidR="001B6DD7" w:rsidRPr="001F7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5EF" w:rsidRPr="001F7D17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4790" w:type="dxa"/>
          </w:tcPr>
          <w:p w14:paraId="72717260" w14:textId="51680BA6" w:rsidR="00DD24FC" w:rsidRPr="001F7D17" w:rsidRDefault="00CA68B8" w:rsidP="001B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786" w:type="dxa"/>
          </w:tcPr>
          <w:p w14:paraId="053DC13E" w14:textId="77777777" w:rsidR="007A05EF" w:rsidRPr="001F7D17" w:rsidRDefault="007A05EF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493" w:rsidRPr="001F7D17" w14:paraId="3277F9B4" w14:textId="77777777" w:rsidTr="00523850">
        <w:tc>
          <w:tcPr>
            <w:tcW w:w="704" w:type="dxa"/>
          </w:tcPr>
          <w:p w14:paraId="6A3BDAB8" w14:textId="58046425" w:rsidR="007A05EF" w:rsidRPr="001F7D17" w:rsidRDefault="00DD24FC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FA1AC2" w:rsidRPr="001F7D17">
              <w:rPr>
                <w:rFonts w:ascii="Times New Roman" w:hAnsi="Times New Roman"/>
                <w:sz w:val="24"/>
                <w:szCs w:val="24"/>
              </w:rPr>
              <w:t>2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14:paraId="1542C6D9" w14:textId="281F976E" w:rsidR="007A05EF" w:rsidRPr="001F7D17" w:rsidRDefault="003B7F12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 xml:space="preserve">Licencijų </w:t>
            </w:r>
            <w:r w:rsidR="007A05EF" w:rsidRPr="001F7D17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4790" w:type="dxa"/>
          </w:tcPr>
          <w:p w14:paraId="3DD32BEE" w14:textId="59AF0EA2" w:rsidR="007A05EF" w:rsidRPr="001F7D17" w:rsidRDefault="003C48F4" w:rsidP="00B66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Organizuoti nuotolines vaizdo konferencijas teismų viduje, žodinius teismo posėdžius tarp įvairių proceso šalių</w:t>
            </w:r>
            <w:r w:rsidR="00B66210" w:rsidRPr="001F7D17">
              <w:rPr>
                <w:rFonts w:ascii="Times New Roman" w:hAnsi="Times New Roman"/>
                <w:sz w:val="24"/>
                <w:szCs w:val="24"/>
              </w:rPr>
              <w:t>,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 bei organizuoti Teisėjų tarybos ir komisijų nuotolinius posėdžius, kuriuos 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 xml:space="preserve">rengia </w:t>
            </w:r>
            <w:r w:rsidR="00AE10A3" w:rsidRPr="001F7D17">
              <w:rPr>
                <w:rFonts w:ascii="Times New Roman" w:hAnsi="Times New Roman"/>
                <w:sz w:val="24"/>
                <w:szCs w:val="24"/>
              </w:rPr>
              <w:t>A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dministracija.</w:t>
            </w:r>
          </w:p>
        </w:tc>
        <w:tc>
          <w:tcPr>
            <w:tcW w:w="2786" w:type="dxa"/>
          </w:tcPr>
          <w:p w14:paraId="69490CAB" w14:textId="77777777" w:rsidR="007A05EF" w:rsidRPr="001F7D17" w:rsidRDefault="007A05EF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493" w:rsidRPr="001F7D17" w14:paraId="3600D8E8" w14:textId="77777777" w:rsidTr="00523850">
        <w:tc>
          <w:tcPr>
            <w:tcW w:w="704" w:type="dxa"/>
            <w:vMerge w:val="restart"/>
          </w:tcPr>
          <w:p w14:paraId="3FB3325A" w14:textId="20CB93AD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05" w:type="dxa"/>
            <w:vMerge w:val="restart"/>
          </w:tcPr>
          <w:p w14:paraId="589F76DE" w14:textId="47F0B63E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Licencijų savybės</w:t>
            </w:r>
          </w:p>
        </w:tc>
        <w:tc>
          <w:tcPr>
            <w:tcW w:w="4790" w:type="dxa"/>
          </w:tcPr>
          <w:p w14:paraId="78A00A1F" w14:textId="63F0BD63" w:rsidR="00ED7F00" w:rsidRPr="001F7D17" w:rsidRDefault="00840E76" w:rsidP="00385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3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.1. Turi būti galimybė sujungti mobilius vartotojus su Windows, </w:t>
            </w:r>
            <w:proofErr w:type="spellStart"/>
            <w:r w:rsidRPr="001F7D17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1F7D17">
              <w:rPr>
                <w:rFonts w:ascii="Times New Roman" w:hAnsi="Times New Roman"/>
                <w:sz w:val="24"/>
                <w:szCs w:val="24"/>
              </w:rPr>
              <w:t xml:space="preserve">, Android, iOS įrenginiais (iki 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5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00 bet kokių įrenginių vienoje konferencijoje). Konferencijų kiekis neribotas.</w:t>
            </w:r>
            <w:r w:rsidR="00BA4F8B" w:rsidRPr="001F7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6" w:type="dxa"/>
          </w:tcPr>
          <w:p w14:paraId="2EB1418C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2C5C1E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DD6D6F1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3EE15F42" w14:textId="77777777" w:rsidTr="00523850">
        <w:tc>
          <w:tcPr>
            <w:tcW w:w="704" w:type="dxa"/>
            <w:vMerge/>
          </w:tcPr>
          <w:p w14:paraId="21254E63" w14:textId="77777777" w:rsidR="003136BC" w:rsidRPr="001F7D17" w:rsidRDefault="003136BC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F3CF685" w14:textId="77777777" w:rsidR="003136BC" w:rsidRPr="001F7D17" w:rsidRDefault="003136BC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7B9C6186" w14:textId="77777777" w:rsidR="003136BC" w:rsidRPr="001F7D17" w:rsidRDefault="00CA68B8" w:rsidP="00212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 w:rsidR="003136BC" w:rsidRPr="001F7D17">
              <w:rPr>
                <w:rFonts w:ascii="Times New Roman" w:hAnsi="Times New Roman"/>
                <w:sz w:val="24"/>
                <w:szCs w:val="24"/>
              </w:rPr>
              <w:t xml:space="preserve">Vienu metu ekrane turi būti atvaizduojama ne mažiau kaip 49 dalyviai (7x7 arba lygiavertis išdėstymas). Vaizdo raiška ne mažiau kaip </w:t>
            </w:r>
            <w:proofErr w:type="spellStart"/>
            <w:r w:rsidR="003136BC" w:rsidRPr="001F7D17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="003136BC" w:rsidRPr="001F7D17">
              <w:rPr>
                <w:rFonts w:ascii="Times New Roman" w:hAnsi="Times New Roman"/>
                <w:sz w:val="24"/>
                <w:szCs w:val="24"/>
              </w:rPr>
              <w:t xml:space="preserve"> HD (1080p).</w:t>
            </w:r>
          </w:p>
          <w:p w14:paraId="50CA1BE4" w14:textId="45B3A4FB" w:rsidR="00ED7F00" w:rsidRPr="001F7D17" w:rsidRDefault="00ED7F00" w:rsidP="00212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 xml:space="preserve">Dalyviai turi galėti bendradarbiauti </w:t>
            </w:r>
            <w:r w:rsidR="00A73044" w:rsidRPr="001F7D17">
              <w:rPr>
                <w:rFonts w:ascii="Times New Roman" w:hAnsi="Times New Roman"/>
                <w:sz w:val="24"/>
                <w:szCs w:val="24"/>
              </w:rPr>
              <w:t xml:space="preserve">ne mažiau kaip šiais būdais: 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vaizdas ir garsas, kompiuterio turinio rodymas ir susirašinėjimas, </w:t>
            </w:r>
            <w:r w:rsidR="00A73044" w:rsidRPr="001F7D17">
              <w:rPr>
                <w:rFonts w:ascii="Times New Roman" w:hAnsi="Times New Roman"/>
                <w:sz w:val="24"/>
                <w:szCs w:val="24"/>
              </w:rPr>
              <w:t xml:space="preserve">bendras piešimas 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balto</w:t>
            </w:r>
            <w:r w:rsidR="00A73044" w:rsidRPr="001F7D17">
              <w:rPr>
                <w:rFonts w:ascii="Times New Roman" w:hAnsi="Times New Roman"/>
                <w:sz w:val="24"/>
                <w:szCs w:val="24"/>
              </w:rPr>
              <w:t>je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 lento</w:t>
            </w:r>
            <w:r w:rsidR="00A73044" w:rsidRPr="001F7D17">
              <w:rPr>
                <w:rFonts w:ascii="Times New Roman" w:hAnsi="Times New Roman"/>
                <w:sz w:val="24"/>
                <w:szCs w:val="24"/>
              </w:rPr>
              <w:t>je, rodymas vaizdo iš 2 video kamerų vienu metu ir „žmogaus prezentacijoje“.</w:t>
            </w:r>
          </w:p>
        </w:tc>
        <w:tc>
          <w:tcPr>
            <w:tcW w:w="2786" w:type="dxa"/>
          </w:tcPr>
          <w:p w14:paraId="749CCFEB" w14:textId="77777777" w:rsidR="003136BC" w:rsidRPr="001F7D17" w:rsidRDefault="003136BC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232A0B9B" w14:textId="77777777" w:rsidTr="00523850">
        <w:tc>
          <w:tcPr>
            <w:tcW w:w="704" w:type="dxa"/>
            <w:vMerge/>
          </w:tcPr>
          <w:p w14:paraId="598E11C6" w14:textId="77777777" w:rsidR="00840E76" w:rsidRPr="001F7D17" w:rsidRDefault="00840E76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3A4CBC6F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2CE5D08F" w14:textId="560AB41B" w:rsidR="00840E76" w:rsidRPr="001F7D17" w:rsidRDefault="00840E76" w:rsidP="00212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3.3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. Turi būti galimybė organizuoti neribotos trukmės daugiašalius susitikimus iki </w:t>
            </w:r>
            <w:r w:rsidR="00A46C27" w:rsidRPr="001F7D17">
              <w:rPr>
                <w:rFonts w:ascii="Times New Roman" w:hAnsi="Times New Roman"/>
                <w:sz w:val="24"/>
                <w:szCs w:val="24"/>
              </w:rPr>
              <w:t>500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 dalyvių, kurių įrašai turi būti saugomi kompiuteryje ar Perkančiosios organizacijos serveryje.</w:t>
            </w:r>
            <w:r w:rsidR="00BA4F8B" w:rsidRPr="001F7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CCE" w:rsidRPr="001F7D17">
              <w:rPr>
                <w:rFonts w:ascii="Times New Roman" w:hAnsi="Times New Roman"/>
                <w:sz w:val="24"/>
                <w:szCs w:val="24"/>
              </w:rPr>
              <w:t>„Debesies“ įrašų talpa neribota.</w:t>
            </w:r>
          </w:p>
        </w:tc>
        <w:tc>
          <w:tcPr>
            <w:tcW w:w="2786" w:type="dxa"/>
          </w:tcPr>
          <w:p w14:paraId="077EB673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176A363E" w14:textId="77777777" w:rsidTr="00523850">
        <w:tc>
          <w:tcPr>
            <w:tcW w:w="704" w:type="dxa"/>
            <w:vMerge/>
          </w:tcPr>
          <w:p w14:paraId="1F0C0B22" w14:textId="77777777" w:rsidR="00840E76" w:rsidRPr="001F7D17" w:rsidRDefault="00840E76" w:rsidP="00EE597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C13D851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105E6169" w14:textId="3DB7229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3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4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. Turi būti galimybė prisijungti prie konferencijų dalyviams skambinantiems (balsiniai)  telefonu.</w:t>
            </w:r>
          </w:p>
        </w:tc>
        <w:tc>
          <w:tcPr>
            <w:tcW w:w="2786" w:type="dxa"/>
          </w:tcPr>
          <w:p w14:paraId="0FCBC5A6" w14:textId="77777777" w:rsidR="00840E76" w:rsidRPr="001F7D17" w:rsidRDefault="00840E76" w:rsidP="00EE5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2AA5C75D" w14:textId="77777777" w:rsidTr="00523850">
        <w:tc>
          <w:tcPr>
            <w:tcW w:w="704" w:type="dxa"/>
            <w:vMerge/>
          </w:tcPr>
          <w:p w14:paraId="60AFA032" w14:textId="77777777" w:rsidR="00840E76" w:rsidRPr="001F7D17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4CA1766E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694932C0" w14:textId="4B3659F4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3.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 xml:space="preserve">5. Licencijos gamintojas turi turėti ne mažiau kaip 30 pasaulio šalių dedikuotų  numerių. </w:t>
            </w:r>
          </w:p>
        </w:tc>
        <w:tc>
          <w:tcPr>
            <w:tcW w:w="2786" w:type="dxa"/>
          </w:tcPr>
          <w:p w14:paraId="382CD2F5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0C4B169E" w14:textId="77777777" w:rsidTr="00523850">
        <w:tc>
          <w:tcPr>
            <w:tcW w:w="704" w:type="dxa"/>
            <w:vMerge/>
          </w:tcPr>
          <w:p w14:paraId="34DE03C4" w14:textId="77777777" w:rsidR="00840E76" w:rsidRPr="001F7D17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44434CE5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68F9BF54" w14:textId="777D3E65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</w:t>
            </w:r>
            <w:r w:rsidR="00CA68B8" w:rsidRPr="001F7D17">
              <w:rPr>
                <w:rFonts w:ascii="Times New Roman" w:hAnsi="Times New Roman"/>
                <w:sz w:val="24"/>
                <w:szCs w:val="24"/>
              </w:rPr>
              <w:t>3.6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. Turi būti galima komunikuoti su partneriais, naudojančiais Microsoft Skype for Business</w:t>
            </w:r>
            <w:r w:rsidR="005B50D1" w:rsidRPr="001F7D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Teams</w:t>
            </w:r>
            <w:r w:rsidR="001D69C9" w:rsidRPr="001F7D17">
              <w:rPr>
                <w:rFonts w:ascii="Times New Roman" w:hAnsi="Times New Roman"/>
                <w:sz w:val="24"/>
                <w:szCs w:val="24"/>
              </w:rPr>
              <w:t xml:space="preserve">, Google Meet, Cisco Webex </w:t>
            </w:r>
            <w:r w:rsidR="005B50D1" w:rsidRPr="001F7D17">
              <w:rPr>
                <w:rFonts w:ascii="Times New Roman" w:hAnsi="Times New Roman"/>
                <w:sz w:val="24"/>
                <w:szCs w:val="24"/>
              </w:rPr>
              <w:t xml:space="preserve">ar lygiaverčius </w:t>
            </w:r>
            <w:r w:rsidRPr="001F7D17">
              <w:rPr>
                <w:rFonts w:ascii="Times New Roman" w:hAnsi="Times New Roman"/>
                <w:sz w:val="24"/>
                <w:szCs w:val="24"/>
              </w:rPr>
              <w:t>komunikacijų sprendimus.</w:t>
            </w:r>
          </w:p>
        </w:tc>
        <w:tc>
          <w:tcPr>
            <w:tcW w:w="2786" w:type="dxa"/>
          </w:tcPr>
          <w:p w14:paraId="502DE8DC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78FE75CC" w14:textId="77777777" w:rsidTr="00523850">
        <w:tc>
          <w:tcPr>
            <w:tcW w:w="704" w:type="dxa"/>
            <w:vMerge/>
          </w:tcPr>
          <w:p w14:paraId="37AF64F2" w14:textId="77777777" w:rsidR="00840E76" w:rsidRPr="001F7D17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5EC05E92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2C7E7667" w14:textId="318D135A" w:rsidR="00840E76" w:rsidRPr="001F7D17" w:rsidRDefault="00747CCE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1.3.7.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 xml:space="preserve"> Turi būti galimybė pakviesti į vaizdo susitikimą išorinius dalyvius, kurie pas save neturi ir nenaudoja jokio vaizdo konferencijų sprendimo.</w:t>
            </w:r>
          </w:p>
        </w:tc>
        <w:tc>
          <w:tcPr>
            <w:tcW w:w="2786" w:type="dxa"/>
          </w:tcPr>
          <w:p w14:paraId="0A910877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0D779E9E" w14:textId="77777777" w:rsidTr="00523850">
        <w:tc>
          <w:tcPr>
            <w:tcW w:w="704" w:type="dxa"/>
            <w:vMerge/>
          </w:tcPr>
          <w:p w14:paraId="54FA18A1" w14:textId="77777777" w:rsidR="00840E76" w:rsidRPr="001F7D17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198FCCB4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3CACE4AA" w14:textId="44E66703" w:rsidR="00840E76" w:rsidRPr="001F7D17" w:rsidRDefault="00747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1.3.8.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 xml:space="preserve"> Turi būti galimybė įrašyti vykusį vaizdo pasitarimą ar jį transliuoti</w:t>
            </w:r>
            <w:r w:rsidR="002434F7" w:rsidRPr="001F7D17">
              <w:rPr>
                <w:rFonts w:ascii="Times New Roman" w:hAnsi="Times New Roman"/>
                <w:sz w:val="24"/>
                <w:szCs w:val="24"/>
              </w:rPr>
              <w:t xml:space="preserve"> YouTube Live, Facebook Live ar vidiniame tinkle, naudojant perkančiosios organizacijos serverius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>, kad su aptarta informacija galėtų susipažinti pasitarime nedalyvaujantys.</w:t>
            </w:r>
          </w:p>
        </w:tc>
        <w:tc>
          <w:tcPr>
            <w:tcW w:w="2786" w:type="dxa"/>
          </w:tcPr>
          <w:p w14:paraId="4FCD2E57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6AD0C416" w14:textId="77777777" w:rsidTr="00523850">
        <w:trPr>
          <w:trHeight w:val="944"/>
        </w:trPr>
        <w:tc>
          <w:tcPr>
            <w:tcW w:w="704" w:type="dxa"/>
            <w:vMerge/>
          </w:tcPr>
          <w:p w14:paraId="410CD32A" w14:textId="77777777" w:rsidR="00840E76" w:rsidRPr="001F7D17" w:rsidRDefault="00840E76" w:rsidP="00556C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40DBBD7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3DEBE8D1" w14:textId="4F63B0EC" w:rsidR="00840E76" w:rsidRPr="001F7D17" w:rsidRDefault="00747CCE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1.3.9.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 xml:space="preserve"> Turi būti galimybė planuoti būsimus susitikimus ir siųsti pakvietimus su Microsoft Outlook ar Google Calendar įskiepiais.</w:t>
            </w:r>
          </w:p>
        </w:tc>
        <w:tc>
          <w:tcPr>
            <w:tcW w:w="2786" w:type="dxa"/>
          </w:tcPr>
          <w:p w14:paraId="1E4F7F3B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3143D91D" w14:textId="77777777" w:rsidTr="00523850">
        <w:trPr>
          <w:trHeight w:val="1126"/>
        </w:trPr>
        <w:tc>
          <w:tcPr>
            <w:tcW w:w="704" w:type="dxa"/>
            <w:vMerge/>
          </w:tcPr>
          <w:p w14:paraId="44CDC2A1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4B06B6A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1F157B94" w14:textId="45919D4A" w:rsidR="00840E76" w:rsidRPr="001F7D17" w:rsidRDefault="00747CCE" w:rsidP="000E4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>1.3.10.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 xml:space="preserve"> Turi būti galimybė organizuoti nuotolines konferencijas su vaizdu ir garsu, tik garsu, Konferencijos metu rodyti vieno iš dalyvių ekraną, taip pat turi būti galimybė vykdyti susirašinėjim</w:t>
            </w:r>
            <w:r w:rsidR="0046393C" w:rsidRPr="001F7D17">
              <w:rPr>
                <w:rFonts w:ascii="Times New Roman" w:hAnsi="Times New Roman"/>
                <w:sz w:val="24"/>
                <w:szCs w:val="24"/>
              </w:rPr>
              <w:t>ą</w:t>
            </w:r>
            <w:r w:rsidR="00840E76" w:rsidRPr="001F7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1632ADD7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1AED18FB" w14:textId="77777777" w:rsidTr="00523850">
        <w:tc>
          <w:tcPr>
            <w:tcW w:w="704" w:type="dxa"/>
            <w:vMerge/>
          </w:tcPr>
          <w:p w14:paraId="14185F7B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0613AF5A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3C3AD5FB" w14:textId="5334FA91" w:rsidR="002434F7" w:rsidRPr="001F7D17" w:rsidRDefault="00747CCE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 xml:space="preserve">1.3.11. </w:t>
            </w:r>
            <w:r w:rsidR="002434F7" w:rsidRPr="001F7D17">
              <w:rPr>
                <w:rFonts w:ascii="Times New Roman" w:hAnsi="Times New Roman"/>
                <w:sz w:val="24"/>
                <w:szCs w:val="24"/>
              </w:rPr>
              <w:t>Turi būti galimybė nemokamai tam pačiam organizatoriui suplanuoti ir paleisti ne mažiau kaip 2 vienu metu vykstančius video susitikimus, neįsigyjant papildomų licencijų.</w:t>
            </w:r>
          </w:p>
        </w:tc>
        <w:tc>
          <w:tcPr>
            <w:tcW w:w="2786" w:type="dxa"/>
          </w:tcPr>
          <w:p w14:paraId="382FC032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5D8780AF" w14:textId="77777777" w:rsidTr="00523850">
        <w:tc>
          <w:tcPr>
            <w:tcW w:w="704" w:type="dxa"/>
            <w:vMerge/>
          </w:tcPr>
          <w:p w14:paraId="180EE890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0EFCA3CC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0D248787" w14:textId="7B701167" w:rsidR="002434F7" w:rsidRPr="001F7D17" w:rsidRDefault="00747CCE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17">
              <w:rPr>
                <w:rFonts w:ascii="Times New Roman" w:hAnsi="Times New Roman"/>
                <w:sz w:val="24"/>
                <w:szCs w:val="24"/>
              </w:rPr>
              <w:t xml:space="preserve">1.3.12. </w:t>
            </w:r>
            <w:r w:rsidR="002434F7" w:rsidRPr="001F7D17">
              <w:rPr>
                <w:rFonts w:ascii="Times New Roman" w:hAnsi="Times New Roman"/>
                <w:sz w:val="24"/>
                <w:szCs w:val="24"/>
              </w:rPr>
              <w:t>Turi būti galimybė nemokamai rengti online susitikimus su vertimu į kitas kalbas, neįsigyjant papildomų licencijų.</w:t>
            </w:r>
          </w:p>
        </w:tc>
        <w:tc>
          <w:tcPr>
            <w:tcW w:w="2786" w:type="dxa"/>
          </w:tcPr>
          <w:p w14:paraId="4D700548" w14:textId="77777777" w:rsidR="002434F7" w:rsidRPr="001F7D17" w:rsidRDefault="002434F7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7B4B98EF" w14:textId="77777777" w:rsidTr="00523850">
        <w:tc>
          <w:tcPr>
            <w:tcW w:w="704" w:type="dxa"/>
            <w:vMerge/>
          </w:tcPr>
          <w:p w14:paraId="21CB36AC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0BFD2BBF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0A83E7E7" w14:textId="716F62D2" w:rsidR="00840E76" w:rsidRPr="009918CF" w:rsidRDefault="00747CCE" w:rsidP="00556C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1.3.13. 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galimybė nemokamai </w:t>
            </w:r>
            <w:r w:rsidR="008872B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įsidiegti susitikimų kambarių rezervavimą</w:t>
            </w:r>
            <w:r w:rsidR="00737364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364" w:rsidRPr="009918C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(room booking)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neįsigyjant papildomų licencijų.</w:t>
            </w:r>
          </w:p>
        </w:tc>
        <w:tc>
          <w:tcPr>
            <w:tcW w:w="2786" w:type="dxa"/>
          </w:tcPr>
          <w:p w14:paraId="01642E29" w14:textId="77777777" w:rsidR="00840E76" w:rsidRPr="001F7D17" w:rsidRDefault="00840E76" w:rsidP="0055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25AC642D" w14:textId="77777777" w:rsidTr="00523850">
        <w:tc>
          <w:tcPr>
            <w:tcW w:w="704" w:type="dxa"/>
            <w:vMerge/>
          </w:tcPr>
          <w:p w14:paraId="59FB3C7C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164C3EA3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060BA1AD" w14:textId="11E494D2" w:rsidR="002434F7" w:rsidRPr="009918CF" w:rsidRDefault="00747CCE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1.3.14. 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galimybė nemokamai </w:t>
            </w:r>
            <w:r w:rsidR="008872B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įsidiegti darbo vietų rezervavimą</w:t>
            </w:r>
            <w:r w:rsidR="00737364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364" w:rsidRPr="009918C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(workspace reservation)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neįsigyjant papildomų licencijų.</w:t>
            </w:r>
          </w:p>
        </w:tc>
        <w:tc>
          <w:tcPr>
            <w:tcW w:w="2786" w:type="dxa"/>
          </w:tcPr>
          <w:p w14:paraId="07460EA4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1A92A2F4" w14:textId="77777777" w:rsidTr="00523850">
        <w:tc>
          <w:tcPr>
            <w:tcW w:w="704" w:type="dxa"/>
            <w:vMerge/>
          </w:tcPr>
          <w:p w14:paraId="13CFEE50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AF61D2C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3EC9FDF9" w14:textId="6FB45BB5" w:rsidR="002434F7" w:rsidRPr="009918CF" w:rsidRDefault="00747CCE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1.3.15. 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galimybė nemokamai </w:t>
            </w:r>
            <w:r w:rsidR="008872B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įsidiegti vizualinės informacijos sklaidą</w:t>
            </w:r>
            <w:r w:rsidR="00737364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364" w:rsidRPr="009918C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(digital signage)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neįsigyjant papildomų licencijų.</w:t>
            </w:r>
          </w:p>
        </w:tc>
        <w:tc>
          <w:tcPr>
            <w:tcW w:w="2786" w:type="dxa"/>
          </w:tcPr>
          <w:p w14:paraId="6620FCE4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29F1253C" w14:textId="77777777" w:rsidTr="00523850">
        <w:tc>
          <w:tcPr>
            <w:tcW w:w="704" w:type="dxa"/>
            <w:vMerge/>
          </w:tcPr>
          <w:p w14:paraId="0D1A16E0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3CEC4CF7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50518568" w14:textId="65B4C095" w:rsidR="002434F7" w:rsidRPr="009918CF" w:rsidRDefault="00747CCE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1.3.16. 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galimybė </w:t>
            </w:r>
            <w:r w:rsidR="008872B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audio, video, prezentacijas, pokalbius perduoti 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naudo</w:t>
            </w:r>
            <w:r w:rsidR="008872B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jant</w:t>
            </w:r>
            <w:r w:rsidR="002434F7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tik „debesies“ sprendimą, bet ir lokalius Perkančiosios organizacijos kompiuterinės įrangos resursus, įsigyjant papildomas licencijas.</w:t>
            </w:r>
          </w:p>
        </w:tc>
        <w:tc>
          <w:tcPr>
            <w:tcW w:w="2786" w:type="dxa"/>
          </w:tcPr>
          <w:p w14:paraId="6277D347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B0083" w:rsidRPr="001F7D17" w14:paraId="0BFC11B5" w14:textId="77777777" w:rsidTr="00523850">
        <w:tc>
          <w:tcPr>
            <w:tcW w:w="704" w:type="dxa"/>
            <w:vMerge/>
          </w:tcPr>
          <w:p w14:paraId="408AFFEA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2F887F63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228BC877" w14:textId="0EFB5977" w:rsidR="002B0083" w:rsidRPr="009918CF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1.3.17. Turi būti galimybė prisijungti prie H.323/SIP standarto vaizdo konferencijų susitikimų</w:t>
            </w:r>
            <w:r w:rsidR="00C46B80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44D9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Suteikiama ne mažiau 12 nemokamų licencijų, galimybė įsigyti papildomas licencijas</w:t>
            </w:r>
            <w:r w:rsidR="00A57B29" w:rsidRPr="009918CF">
              <w:rPr>
                <w:rFonts w:cs="Calibri"/>
                <w:color w:val="000000" w:themeColor="text1"/>
                <w:sz w:val="24"/>
                <w:szCs w:val="24"/>
              </w:rPr>
              <w:t>*</w:t>
            </w:r>
            <w:r w:rsidR="00744D9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67964C5A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B3493" w:rsidRPr="001F7D17" w14:paraId="02F9AE0C" w14:textId="77777777" w:rsidTr="00523850">
        <w:tc>
          <w:tcPr>
            <w:tcW w:w="704" w:type="dxa"/>
            <w:vMerge/>
          </w:tcPr>
          <w:p w14:paraId="70EA7B4D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6E892E62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0C03D7A8" w14:textId="5BA3E353" w:rsidR="00073323" w:rsidRPr="009918CF" w:rsidRDefault="00747CCE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</w:t>
            </w:r>
            <w:r w:rsidR="00744D91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073323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galimybė įsidiegti automatizuotus video susitikimų kambarius, kuriuos galima įdiegti į HP Poly, Logitech, Jabra, Cisco, Crestron ir kitų gamintojų aparatinę įrangą, </w:t>
            </w:r>
            <w:r w:rsidR="0062080D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Suteikiama ne mažiau 12 nemokamų licencijų, galimybė </w:t>
            </w:r>
            <w:r w:rsidR="00073323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įsigy</w:t>
            </w:r>
            <w:r w:rsidR="0062080D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="00073323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papildomas licencijas</w:t>
            </w:r>
            <w:r w:rsidR="00A57B29" w:rsidRPr="009918CF">
              <w:rPr>
                <w:rFonts w:cs="Calibri"/>
                <w:color w:val="000000" w:themeColor="text1"/>
                <w:sz w:val="24"/>
                <w:szCs w:val="24"/>
              </w:rPr>
              <w:t>*</w:t>
            </w:r>
            <w:r w:rsidR="00073323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2080D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C557B8" w14:textId="19D7F4E7" w:rsidR="002434F7" w:rsidRPr="009918CF" w:rsidRDefault="00073323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Šie kambariai turi būti suderinami ir leisti lengvai prisijungti į Microsoft Teams, Google Meet, Cisco Webex </w:t>
            </w:r>
            <w:r w:rsidR="00A73044"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bei H.323/SIP standarto </w:t>
            </w: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susitikimus be papildomos aparatinės ar programinės įrangos.</w:t>
            </w:r>
          </w:p>
        </w:tc>
        <w:tc>
          <w:tcPr>
            <w:tcW w:w="2786" w:type="dxa"/>
          </w:tcPr>
          <w:p w14:paraId="70C2F9E5" w14:textId="77777777" w:rsidR="002434F7" w:rsidRPr="001F7D17" w:rsidRDefault="002434F7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B0083" w:rsidRPr="001F7D17" w14:paraId="098C1C6D" w14:textId="77777777" w:rsidTr="00523850">
        <w:tc>
          <w:tcPr>
            <w:tcW w:w="704" w:type="dxa"/>
            <w:vMerge/>
          </w:tcPr>
          <w:p w14:paraId="633C027F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1038B574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6A95EB85" w14:textId="3954D0BA" w:rsidR="002B0083" w:rsidRPr="009918CF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1.3.19. Turi būti galimybė išplėsti funkcionalumą įsidiegiant telefoniją esamoje platformoje (įsigyjant papildomas licencijas)</w:t>
            </w:r>
            <w:r w:rsidR="00A57B29" w:rsidRPr="009918CF">
              <w:rPr>
                <w:rFonts w:cs="Calibri"/>
                <w:color w:val="000000" w:themeColor="text1"/>
                <w:sz w:val="24"/>
                <w:szCs w:val="24"/>
              </w:rPr>
              <w:t>*</w:t>
            </w: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14:paraId="147938FE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B0083" w:rsidRPr="001F7D17" w14:paraId="2906E924" w14:textId="77777777" w:rsidTr="00523850">
        <w:tc>
          <w:tcPr>
            <w:tcW w:w="704" w:type="dxa"/>
            <w:vMerge/>
          </w:tcPr>
          <w:p w14:paraId="128DE5E7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68B991C0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321973DA" w14:textId="05D846CA" w:rsidR="002B0083" w:rsidRPr="009918CF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1.3.20. Turi būti galimybė išplėsti funkcionalumą įsidiegiant kontaktų centrą esamoje platformoje (įsigyjant papildomas licencijas</w:t>
            </w:r>
            <w:r w:rsidR="00A57B29" w:rsidRPr="009918CF">
              <w:rPr>
                <w:rFonts w:cs="Calibri"/>
                <w:color w:val="000000" w:themeColor="text1"/>
                <w:sz w:val="24"/>
                <w:szCs w:val="24"/>
              </w:rPr>
              <w:t>*</w:t>
            </w: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786" w:type="dxa"/>
          </w:tcPr>
          <w:p w14:paraId="157E4AC3" w14:textId="77777777" w:rsidR="002B0083" w:rsidRPr="001F7D17" w:rsidRDefault="002B0083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E49CA" w:rsidRPr="001F7D17" w14:paraId="199DEA8B" w14:textId="77777777" w:rsidTr="00523850">
        <w:tc>
          <w:tcPr>
            <w:tcW w:w="704" w:type="dxa"/>
            <w:vMerge/>
          </w:tcPr>
          <w:p w14:paraId="70AB7FCB" w14:textId="77777777" w:rsidR="000E49CA" w:rsidRPr="001F7D17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vMerge/>
          </w:tcPr>
          <w:p w14:paraId="7E528FD8" w14:textId="77777777" w:rsidR="000E49CA" w:rsidRPr="001F7D17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90" w:type="dxa"/>
          </w:tcPr>
          <w:p w14:paraId="40655079" w14:textId="3CBA2184" w:rsidR="000E49CA" w:rsidRPr="009918CF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1.3.21. Licencijos turi būti aktyvuotos turimoje Perkančiosios organizacijos paskyroje. Tiekėjui neturint galimybių turimoje Perkančiosios organizacijos paskyroje aktyvuoti naujai įsigyjamų licencijų, tiekėjas savo lėšomis turi perkelti į naują paskyrą visas dabartinėje paskyroje esamus vartotojus ir perkelti visus iki licencijų aktyvavimo datos sukurtus susitikimus taip, kad tai neturėtų tiesioginės įtakos Perkančiosios organizacijos ir teismų darbui bei veiklos tęstinumui</w:t>
            </w:r>
          </w:p>
        </w:tc>
        <w:tc>
          <w:tcPr>
            <w:tcW w:w="2786" w:type="dxa"/>
          </w:tcPr>
          <w:p w14:paraId="09CD074E" w14:textId="77777777" w:rsidR="000E49CA" w:rsidRPr="001F7D17" w:rsidRDefault="000E49CA" w:rsidP="0024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EA" w:rsidRPr="001F7D17" w14:paraId="4F4F1AA6" w14:textId="77777777" w:rsidTr="00523850">
        <w:tc>
          <w:tcPr>
            <w:tcW w:w="704" w:type="dxa"/>
          </w:tcPr>
          <w:p w14:paraId="022F0740" w14:textId="5E7C0AEE" w:rsidR="00F615EA" w:rsidRPr="007B3E86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8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05" w:type="dxa"/>
          </w:tcPr>
          <w:p w14:paraId="6135D38D" w14:textId="0A824A28" w:rsidR="00F615EA" w:rsidRPr="007B3E86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86">
              <w:rPr>
                <w:rFonts w:ascii="Times New Roman" w:hAnsi="Times New Roman"/>
                <w:sz w:val="24"/>
                <w:szCs w:val="24"/>
              </w:rPr>
              <w:t>Licencijos galiojimo trukmė</w:t>
            </w:r>
          </w:p>
        </w:tc>
        <w:tc>
          <w:tcPr>
            <w:tcW w:w="4790" w:type="dxa"/>
          </w:tcPr>
          <w:p w14:paraId="6901B5FE" w14:textId="021B9341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Licencijos turi galioti dvylika mėnesių, t. y. nuo 2026 m. gegužės 26 dienos iki 2027 m. gegužės 25 dienos.</w:t>
            </w:r>
          </w:p>
        </w:tc>
        <w:tc>
          <w:tcPr>
            <w:tcW w:w="2786" w:type="dxa"/>
          </w:tcPr>
          <w:p w14:paraId="01AFC617" w14:textId="77777777" w:rsidR="00F615EA" w:rsidRPr="001F7D17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EA" w:rsidRPr="001F7D17" w14:paraId="45568A56" w14:textId="77777777" w:rsidTr="00523850">
        <w:tc>
          <w:tcPr>
            <w:tcW w:w="704" w:type="dxa"/>
          </w:tcPr>
          <w:p w14:paraId="28BE3849" w14:textId="6B2CA614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05" w:type="dxa"/>
          </w:tcPr>
          <w:p w14:paraId="24821B2B" w14:textId="020D7E58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Licencijų garantinė priežiūra – gamintojo palaikymas</w:t>
            </w:r>
          </w:p>
        </w:tc>
        <w:tc>
          <w:tcPr>
            <w:tcW w:w="4790" w:type="dxa"/>
          </w:tcPr>
          <w:p w14:paraId="76ECC94A" w14:textId="77777777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Turi būti užtikrinamas naujų siūlomos programinės įrangos versijų bei pataisymų gavimas, galimybė gauti konsultacijas iš pardavėjo ar programinės įrangos gamintojo visu licencijos galiojimo laikotarpiu neatlygintinai. </w:t>
            </w:r>
          </w:p>
          <w:p w14:paraId="74F30592" w14:textId="77777777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Visą licencijų galiojimo laikotarpį turi būti užtikrintos galimybės Perkančiajai organizacijai nemokamai kreiptis tiesiogiai į Prekių techninio palaikymo centrą ir neatlygintinai gauti jų teikiamas paslaugas. </w:t>
            </w:r>
          </w:p>
          <w:p w14:paraId="4B403D28" w14:textId="2A299792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Visą licencijų galiojimo laikotarpį turi būti užtikrintos galimybės kreiptis į licencijų tiekėją.</w:t>
            </w:r>
          </w:p>
        </w:tc>
        <w:tc>
          <w:tcPr>
            <w:tcW w:w="2786" w:type="dxa"/>
          </w:tcPr>
          <w:p w14:paraId="7A771466" w14:textId="77777777" w:rsidR="00F615EA" w:rsidRPr="001F7D17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EA" w:rsidRPr="001F7D17" w14:paraId="39B09C8B" w14:textId="77777777" w:rsidTr="00523850">
        <w:tc>
          <w:tcPr>
            <w:tcW w:w="704" w:type="dxa"/>
          </w:tcPr>
          <w:p w14:paraId="47D6215B" w14:textId="43374ADD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05" w:type="dxa"/>
          </w:tcPr>
          <w:p w14:paraId="7CCA8B6D" w14:textId="7D93EDB0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Konsultavimas</w:t>
            </w:r>
          </w:p>
        </w:tc>
        <w:tc>
          <w:tcPr>
            <w:tcW w:w="4790" w:type="dxa"/>
          </w:tcPr>
          <w:p w14:paraId="0153DFF8" w14:textId="18A87450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būti teikiamos konsultavimo paslaugos (iki 16 val.) Perkančiosios organizacijos specialistams diegiant paslaugas Perkančiosios organizacijos serveriuose visą sutarties galiojimo laikotarpį.</w:t>
            </w:r>
          </w:p>
        </w:tc>
        <w:tc>
          <w:tcPr>
            <w:tcW w:w="2786" w:type="dxa"/>
          </w:tcPr>
          <w:p w14:paraId="09C3DAE1" w14:textId="77777777" w:rsidR="00F615EA" w:rsidRPr="001F7D17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EA" w:rsidRPr="001F7D17" w14:paraId="050C9F37" w14:textId="77777777" w:rsidTr="00523850">
        <w:tc>
          <w:tcPr>
            <w:tcW w:w="704" w:type="dxa"/>
          </w:tcPr>
          <w:p w14:paraId="36686335" w14:textId="731743E9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05" w:type="dxa"/>
          </w:tcPr>
          <w:p w14:paraId="5DB2CB62" w14:textId="01C98C41" w:rsidR="00F615EA" w:rsidRPr="00202DD9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DD9">
              <w:rPr>
                <w:rFonts w:ascii="Times New Roman" w:hAnsi="Times New Roman"/>
                <w:sz w:val="24"/>
                <w:szCs w:val="24"/>
              </w:rPr>
              <w:t>Reikalavimai tiekėjui</w:t>
            </w:r>
          </w:p>
        </w:tc>
        <w:tc>
          <w:tcPr>
            <w:tcW w:w="4790" w:type="dxa"/>
          </w:tcPr>
          <w:p w14:paraId="2F31545B" w14:textId="1182E45A" w:rsidR="00F615EA" w:rsidRPr="009918CF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8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Tiekėjas teikiant pasiūlymą Perkančiajai organizacijai turi įrodyti, kad turi teisę parduoti Prekes Lietuvos teritorijoje. Atsižvelgiant į tai, tiekėjas turi pateikti Įrangos gamintojo išduotą sertifikatą arba lygiavertį dokumentą (gamintojo pažyma/raštas arba informacija gamintojo svetainėje (pateikiamas gamintojo svetainės ekranvaizdis)), patvirtinantį, kad tiekėjas yra Įrangos gamintojo oficialus atstovas arba įgaliotas parduoti Prekes.</w:t>
            </w:r>
          </w:p>
        </w:tc>
        <w:tc>
          <w:tcPr>
            <w:tcW w:w="2786" w:type="dxa"/>
          </w:tcPr>
          <w:p w14:paraId="127DF42A" w14:textId="77777777" w:rsidR="00F615EA" w:rsidRPr="001F7D17" w:rsidRDefault="00F615EA" w:rsidP="00F61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033DC9D3" w14:textId="77777777" w:rsidR="00EA3CB0" w:rsidRPr="001F7D17" w:rsidRDefault="00EA3CB0" w:rsidP="0054127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1AF55B38" w14:textId="5AB0007B" w:rsidR="007657A7" w:rsidRDefault="001214F0" w:rsidP="00DA71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15D">
        <w:rPr>
          <w:rFonts w:ascii="Times New Roman" w:hAnsi="Times New Roman"/>
          <w:sz w:val="24"/>
          <w:szCs w:val="24"/>
        </w:rPr>
        <w:t>Licencijos</w:t>
      </w:r>
      <w:r w:rsidR="007A05EF" w:rsidRPr="00DA715D">
        <w:rPr>
          <w:rFonts w:ascii="Times New Roman" w:hAnsi="Times New Roman"/>
          <w:sz w:val="24"/>
          <w:szCs w:val="24"/>
        </w:rPr>
        <w:t xml:space="preserve"> turi būti </w:t>
      </w:r>
      <w:r w:rsidR="00FA1AC2" w:rsidRPr="00DA715D">
        <w:rPr>
          <w:rFonts w:ascii="Times New Roman" w:hAnsi="Times New Roman"/>
          <w:sz w:val="24"/>
          <w:szCs w:val="24"/>
        </w:rPr>
        <w:t>aktyvuot</w:t>
      </w:r>
      <w:r w:rsidR="00F714B6" w:rsidRPr="00DA715D">
        <w:rPr>
          <w:rFonts w:ascii="Times New Roman" w:hAnsi="Times New Roman"/>
          <w:sz w:val="24"/>
          <w:szCs w:val="24"/>
        </w:rPr>
        <w:t>o</w:t>
      </w:r>
      <w:r w:rsidR="00FA1AC2" w:rsidRPr="00DA715D">
        <w:rPr>
          <w:rFonts w:ascii="Times New Roman" w:hAnsi="Times New Roman"/>
          <w:sz w:val="24"/>
          <w:szCs w:val="24"/>
        </w:rPr>
        <w:t>s</w:t>
      </w:r>
      <w:r w:rsidR="007A05EF" w:rsidRPr="00DA715D">
        <w:rPr>
          <w:rFonts w:ascii="Times New Roman" w:hAnsi="Times New Roman"/>
          <w:sz w:val="24"/>
          <w:szCs w:val="24"/>
        </w:rPr>
        <w:t xml:space="preserve"> </w:t>
      </w:r>
      <w:r w:rsidR="00AC1299" w:rsidRPr="00DA715D">
        <w:rPr>
          <w:rFonts w:ascii="Times New Roman" w:hAnsi="Times New Roman"/>
          <w:sz w:val="24"/>
          <w:szCs w:val="24"/>
        </w:rPr>
        <w:t>202</w:t>
      </w:r>
      <w:r w:rsidR="00673C17" w:rsidRPr="00DA715D">
        <w:rPr>
          <w:rFonts w:ascii="Times New Roman" w:hAnsi="Times New Roman"/>
          <w:sz w:val="24"/>
          <w:szCs w:val="24"/>
        </w:rPr>
        <w:t>6</w:t>
      </w:r>
      <w:r w:rsidR="00AC1299" w:rsidRPr="00DA715D">
        <w:rPr>
          <w:rFonts w:ascii="Times New Roman" w:hAnsi="Times New Roman"/>
          <w:sz w:val="24"/>
          <w:szCs w:val="24"/>
        </w:rPr>
        <w:t xml:space="preserve"> m. </w:t>
      </w:r>
      <w:r w:rsidR="00D06B53" w:rsidRPr="00DA715D">
        <w:rPr>
          <w:rFonts w:ascii="Times New Roman" w:hAnsi="Times New Roman"/>
          <w:sz w:val="24"/>
          <w:szCs w:val="24"/>
        </w:rPr>
        <w:t>gegužės</w:t>
      </w:r>
      <w:r w:rsidR="00AC1299" w:rsidRPr="00DA715D">
        <w:rPr>
          <w:rFonts w:ascii="Times New Roman" w:hAnsi="Times New Roman"/>
          <w:sz w:val="24"/>
          <w:szCs w:val="24"/>
        </w:rPr>
        <w:t xml:space="preserve"> 2</w:t>
      </w:r>
      <w:r w:rsidR="00673C17" w:rsidRPr="00DA715D">
        <w:rPr>
          <w:rFonts w:ascii="Times New Roman" w:hAnsi="Times New Roman"/>
          <w:sz w:val="24"/>
          <w:szCs w:val="24"/>
        </w:rPr>
        <w:t>6</w:t>
      </w:r>
      <w:r w:rsidR="00AC1299" w:rsidRPr="00DA715D">
        <w:rPr>
          <w:rFonts w:ascii="Times New Roman" w:hAnsi="Times New Roman"/>
          <w:sz w:val="24"/>
          <w:szCs w:val="24"/>
        </w:rPr>
        <w:t xml:space="preserve"> d.</w:t>
      </w:r>
    </w:p>
    <w:p w14:paraId="41BC678E" w14:textId="77777777" w:rsidR="00DA715D" w:rsidRPr="00DA715D" w:rsidRDefault="00DA715D" w:rsidP="00DA71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34B29" w14:textId="55207758" w:rsidR="00DA715D" w:rsidRPr="00DA715D" w:rsidRDefault="00A57B29" w:rsidP="00DA71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8CF">
        <w:rPr>
          <w:rFonts w:cs="Calibri"/>
          <w:sz w:val="24"/>
          <w:szCs w:val="24"/>
        </w:rPr>
        <w:t>*</w:t>
      </w:r>
      <w:r w:rsidR="00DA715D" w:rsidRPr="009918CF">
        <w:rPr>
          <w:rFonts w:ascii="Times New Roman" w:hAnsi="Times New Roman"/>
          <w:sz w:val="24"/>
          <w:szCs w:val="24"/>
        </w:rPr>
        <w:t>PASTABA</w:t>
      </w:r>
      <w:r w:rsidR="00DA715D">
        <w:rPr>
          <w:rFonts w:ascii="Times New Roman" w:hAnsi="Times New Roman"/>
          <w:sz w:val="24"/>
          <w:szCs w:val="24"/>
        </w:rPr>
        <w:t>: P</w:t>
      </w:r>
      <w:r w:rsidR="00DA715D" w:rsidRPr="00DA715D">
        <w:rPr>
          <w:rFonts w:ascii="Times New Roman" w:hAnsi="Times New Roman"/>
          <w:sz w:val="24"/>
          <w:szCs w:val="24"/>
        </w:rPr>
        <w:t>apildomos licencijos, prireikus jas įsigyti, būtų atskiro pirkimo objektas</w:t>
      </w:r>
      <w:r w:rsidR="00DA715D">
        <w:rPr>
          <w:rFonts w:ascii="Times New Roman" w:hAnsi="Times New Roman"/>
          <w:sz w:val="24"/>
          <w:szCs w:val="24"/>
        </w:rPr>
        <w:t>.</w:t>
      </w:r>
    </w:p>
    <w:sectPr w:rsidR="00DA715D" w:rsidRPr="00DA715D" w:rsidSect="00910AFD"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6A84" w14:textId="77777777" w:rsidR="009D7476" w:rsidRDefault="009D7476" w:rsidP="00910AFD">
      <w:pPr>
        <w:spacing w:after="0" w:line="240" w:lineRule="auto"/>
      </w:pPr>
      <w:r>
        <w:separator/>
      </w:r>
    </w:p>
  </w:endnote>
  <w:endnote w:type="continuationSeparator" w:id="0">
    <w:p w14:paraId="70EBEA12" w14:textId="77777777" w:rsidR="009D7476" w:rsidRDefault="009D7476" w:rsidP="00910AFD">
      <w:pPr>
        <w:spacing w:after="0" w:line="240" w:lineRule="auto"/>
      </w:pPr>
      <w:r>
        <w:continuationSeparator/>
      </w:r>
    </w:p>
  </w:endnote>
  <w:endnote w:type="continuationNotice" w:id="1">
    <w:p w14:paraId="2BCA96DD" w14:textId="77777777" w:rsidR="009D7476" w:rsidRDefault="009D7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8577" w14:textId="77777777" w:rsidR="009D7476" w:rsidRDefault="009D7476" w:rsidP="00910AFD">
      <w:pPr>
        <w:spacing w:after="0" w:line="240" w:lineRule="auto"/>
      </w:pPr>
      <w:r>
        <w:separator/>
      </w:r>
    </w:p>
  </w:footnote>
  <w:footnote w:type="continuationSeparator" w:id="0">
    <w:p w14:paraId="5084AB86" w14:textId="77777777" w:rsidR="009D7476" w:rsidRDefault="009D7476" w:rsidP="00910AFD">
      <w:pPr>
        <w:spacing w:after="0" w:line="240" w:lineRule="auto"/>
      </w:pPr>
      <w:r>
        <w:continuationSeparator/>
      </w:r>
    </w:p>
  </w:footnote>
  <w:footnote w:type="continuationNotice" w:id="1">
    <w:p w14:paraId="1C8ECE0E" w14:textId="77777777" w:rsidR="009D7476" w:rsidRDefault="009D74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DD4"/>
    <w:multiLevelType w:val="multilevel"/>
    <w:tmpl w:val="5C92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5152D1"/>
    <w:multiLevelType w:val="multilevel"/>
    <w:tmpl w:val="5C92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66768D"/>
    <w:multiLevelType w:val="hybridMultilevel"/>
    <w:tmpl w:val="A44A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402"/>
    <w:multiLevelType w:val="multilevel"/>
    <w:tmpl w:val="0B365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586333"/>
    <w:multiLevelType w:val="multilevel"/>
    <w:tmpl w:val="E416BC3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6A3E0C3C"/>
    <w:multiLevelType w:val="hybridMultilevel"/>
    <w:tmpl w:val="27925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51769">
    <w:abstractNumId w:val="0"/>
  </w:num>
  <w:num w:numId="2" w16cid:durableId="30694398">
    <w:abstractNumId w:val="2"/>
  </w:num>
  <w:num w:numId="3" w16cid:durableId="607548111">
    <w:abstractNumId w:val="5"/>
  </w:num>
  <w:num w:numId="4" w16cid:durableId="921719427">
    <w:abstractNumId w:val="4"/>
  </w:num>
  <w:num w:numId="5" w16cid:durableId="869339768">
    <w:abstractNumId w:val="3"/>
  </w:num>
  <w:num w:numId="6" w16cid:durableId="175053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EF"/>
    <w:rsid w:val="00013715"/>
    <w:rsid w:val="000144EA"/>
    <w:rsid w:val="000325C9"/>
    <w:rsid w:val="0004552F"/>
    <w:rsid w:val="0004667C"/>
    <w:rsid w:val="00055C63"/>
    <w:rsid w:val="00064AF7"/>
    <w:rsid w:val="000726AA"/>
    <w:rsid w:val="00073323"/>
    <w:rsid w:val="000A1441"/>
    <w:rsid w:val="000A23C0"/>
    <w:rsid w:val="000C3B72"/>
    <w:rsid w:val="000C5CFB"/>
    <w:rsid w:val="000D0A98"/>
    <w:rsid w:val="000E49CA"/>
    <w:rsid w:val="000E4B9C"/>
    <w:rsid w:val="000F1660"/>
    <w:rsid w:val="00106A9C"/>
    <w:rsid w:val="001214F0"/>
    <w:rsid w:val="001304C0"/>
    <w:rsid w:val="00140179"/>
    <w:rsid w:val="00146133"/>
    <w:rsid w:val="00152832"/>
    <w:rsid w:val="00155D71"/>
    <w:rsid w:val="0015728A"/>
    <w:rsid w:val="001637D2"/>
    <w:rsid w:val="00163CAC"/>
    <w:rsid w:val="001872E0"/>
    <w:rsid w:val="00191A30"/>
    <w:rsid w:val="001953D8"/>
    <w:rsid w:val="001B6DD7"/>
    <w:rsid w:val="001D65BD"/>
    <w:rsid w:val="001D69C9"/>
    <w:rsid w:val="001D7FF4"/>
    <w:rsid w:val="001E01EB"/>
    <w:rsid w:val="001F2464"/>
    <w:rsid w:val="001F7D17"/>
    <w:rsid w:val="00202DD9"/>
    <w:rsid w:val="00210810"/>
    <w:rsid w:val="00212F14"/>
    <w:rsid w:val="002434F7"/>
    <w:rsid w:val="0024444C"/>
    <w:rsid w:val="00252728"/>
    <w:rsid w:val="0025570F"/>
    <w:rsid w:val="0026356F"/>
    <w:rsid w:val="00266919"/>
    <w:rsid w:val="002724F2"/>
    <w:rsid w:val="00275888"/>
    <w:rsid w:val="00280AF5"/>
    <w:rsid w:val="00281A4D"/>
    <w:rsid w:val="00283FBF"/>
    <w:rsid w:val="00295C81"/>
    <w:rsid w:val="002A1EFD"/>
    <w:rsid w:val="002A73F2"/>
    <w:rsid w:val="002B0083"/>
    <w:rsid w:val="002B60C1"/>
    <w:rsid w:val="002D6BD5"/>
    <w:rsid w:val="002F3406"/>
    <w:rsid w:val="002F3B9F"/>
    <w:rsid w:val="0030392D"/>
    <w:rsid w:val="003136BC"/>
    <w:rsid w:val="003170E2"/>
    <w:rsid w:val="00327D34"/>
    <w:rsid w:val="00330C42"/>
    <w:rsid w:val="00334D3E"/>
    <w:rsid w:val="003420CF"/>
    <w:rsid w:val="00345B59"/>
    <w:rsid w:val="003461E6"/>
    <w:rsid w:val="00355372"/>
    <w:rsid w:val="00357635"/>
    <w:rsid w:val="00357EF8"/>
    <w:rsid w:val="00367F44"/>
    <w:rsid w:val="003711D9"/>
    <w:rsid w:val="00372AB3"/>
    <w:rsid w:val="003855A8"/>
    <w:rsid w:val="00392E2E"/>
    <w:rsid w:val="003975E0"/>
    <w:rsid w:val="003A2731"/>
    <w:rsid w:val="003B43BB"/>
    <w:rsid w:val="003B75B9"/>
    <w:rsid w:val="003B7F12"/>
    <w:rsid w:val="003C48F4"/>
    <w:rsid w:val="003D239C"/>
    <w:rsid w:val="003E139E"/>
    <w:rsid w:val="003F0F3A"/>
    <w:rsid w:val="003F5DBF"/>
    <w:rsid w:val="00400261"/>
    <w:rsid w:val="004004A3"/>
    <w:rsid w:val="004043E3"/>
    <w:rsid w:val="00404965"/>
    <w:rsid w:val="0041591C"/>
    <w:rsid w:val="004271EB"/>
    <w:rsid w:val="00437CE6"/>
    <w:rsid w:val="0045315E"/>
    <w:rsid w:val="00455383"/>
    <w:rsid w:val="00460CCE"/>
    <w:rsid w:val="004637FC"/>
    <w:rsid w:val="0046393C"/>
    <w:rsid w:val="00467C50"/>
    <w:rsid w:val="0048646D"/>
    <w:rsid w:val="0049301D"/>
    <w:rsid w:val="00496607"/>
    <w:rsid w:val="004A231F"/>
    <w:rsid w:val="004C59E7"/>
    <w:rsid w:val="004D45B4"/>
    <w:rsid w:val="004F1FB6"/>
    <w:rsid w:val="00521195"/>
    <w:rsid w:val="00523307"/>
    <w:rsid w:val="00523624"/>
    <w:rsid w:val="00523850"/>
    <w:rsid w:val="00537924"/>
    <w:rsid w:val="00541271"/>
    <w:rsid w:val="005508D5"/>
    <w:rsid w:val="00555526"/>
    <w:rsid w:val="00556CC0"/>
    <w:rsid w:val="00565893"/>
    <w:rsid w:val="005700CB"/>
    <w:rsid w:val="00576A4D"/>
    <w:rsid w:val="00590296"/>
    <w:rsid w:val="005913F6"/>
    <w:rsid w:val="00597615"/>
    <w:rsid w:val="005A25A3"/>
    <w:rsid w:val="005A665D"/>
    <w:rsid w:val="005A7869"/>
    <w:rsid w:val="005B23E6"/>
    <w:rsid w:val="005B3493"/>
    <w:rsid w:val="005B50D1"/>
    <w:rsid w:val="005C41A1"/>
    <w:rsid w:val="005E4D13"/>
    <w:rsid w:val="005F1CE9"/>
    <w:rsid w:val="005F7D98"/>
    <w:rsid w:val="0060228D"/>
    <w:rsid w:val="006132A9"/>
    <w:rsid w:val="00614AFF"/>
    <w:rsid w:val="0062080D"/>
    <w:rsid w:val="00621FBD"/>
    <w:rsid w:val="00624EDB"/>
    <w:rsid w:val="00625F4D"/>
    <w:rsid w:val="00642FC6"/>
    <w:rsid w:val="00646FE2"/>
    <w:rsid w:val="006719BA"/>
    <w:rsid w:val="00673825"/>
    <w:rsid w:val="00673C17"/>
    <w:rsid w:val="00697681"/>
    <w:rsid w:val="006A106D"/>
    <w:rsid w:val="006C2948"/>
    <w:rsid w:val="006D4D09"/>
    <w:rsid w:val="006E1146"/>
    <w:rsid w:val="006E21A9"/>
    <w:rsid w:val="006F1AAD"/>
    <w:rsid w:val="006F7432"/>
    <w:rsid w:val="00706160"/>
    <w:rsid w:val="00737364"/>
    <w:rsid w:val="00740A6A"/>
    <w:rsid w:val="007431E6"/>
    <w:rsid w:val="00744013"/>
    <w:rsid w:val="00744D91"/>
    <w:rsid w:val="00745B28"/>
    <w:rsid w:val="00747CCE"/>
    <w:rsid w:val="007552F7"/>
    <w:rsid w:val="007657A7"/>
    <w:rsid w:val="00765D34"/>
    <w:rsid w:val="007669A6"/>
    <w:rsid w:val="00771878"/>
    <w:rsid w:val="00791D97"/>
    <w:rsid w:val="00794EBD"/>
    <w:rsid w:val="007A05EF"/>
    <w:rsid w:val="007A5CDB"/>
    <w:rsid w:val="007A7D32"/>
    <w:rsid w:val="007B3E86"/>
    <w:rsid w:val="007C0F6E"/>
    <w:rsid w:val="007C1F8D"/>
    <w:rsid w:val="007D1289"/>
    <w:rsid w:val="007D33CF"/>
    <w:rsid w:val="007E22A4"/>
    <w:rsid w:val="007E412C"/>
    <w:rsid w:val="00806207"/>
    <w:rsid w:val="00823359"/>
    <w:rsid w:val="008362FD"/>
    <w:rsid w:val="00840E76"/>
    <w:rsid w:val="008432E1"/>
    <w:rsid w:val="00846812"/>
    <w:rsid w:val="008608F3"/>
    <w:rsid w:val="00860BC3"/>
    <w:rsid w:val="008727F5"/>
    <w:rsid w:val="008872B1"/>
    <w:rsid w:val="00887D20"/>
    <w:rsid w:val="008C5E73"/>
    <w:rsid w:val="008D2412"/>
    <w:rsid w:val="008D38EC"/>
    <w:rsid w:val="008E6445"/>
    <w:rsid w:val="008E6DA5"/>
    <w:rsid w:val="00900974"/>
    <w:rsid w:val="00903A54"/>
    <w:rsid w:val="00906712"/>
    <w:rsid w:val="00910AFD"/>
    <w:rsid w:val="00914934"/>
    <w:rsid w:val="00916BDE"/>
    <w:rsid w:val="00922C06"/>
    <w:rsid w:val="009239E5"/>
    <w:rsid w:val="00943511"/>
    <w:rsid w:val="00943592"/>
    <w:rsid w:val="009521AA"/>
    <w:rsid w:val="009561B6"/>
    <w:rsid w:val="00956C67"/>
    <w:rsid w:val="009673F1"/>
    <w:rsid w:val="00970F0B"/>
    <w:rsid w:val="00973B54"/>
    <w:rsid w:val="009757A9"/>
    <w:rsid w:val="00983875"/>
    <w:rsid w:val="009918CF"/>
    <w:rsid w:val="009B0244"/>
    <w:rsid w:val="009B42B2"/>
    <w:rsid w:val="009C1D9D"/>
    <w:rsid w:val="009C46E7"/>
    <w:rsid w:val="009C6975"/>
    <w:rsid w:val="009D7476"/>
    <w:rsid w:val="009D793C"/>
    <w:rsid w:val="009F17FC"/>
    <w:rsid w:val="009F7DE5"/>
    <w:rsid w:val="00A21997"/>
    <w:rsid w:val="00A26522"/>
    <w:rsid w:val="00A27579"/>
    <w:rsid w:val="00A4507E"/>
    <w:rsid w:val="00A46C27"/>
    <w:rsid w:val="00A57B29"/>
    <w:rsid w:val="00A62FF0"/>
    <w:rsid w:val="00A63B4F"/>
    <w:rsid w:val="00A646AC"/>
    <w:rsid w:val="00A73044"/>
    <w:rsid w:val="00A951C3"/>
    <w:rsid w:val="00A96A22"/>
    <w:rsid w:val="00AA7364"/>
    <w:rsid w:val="00AB1F2B"/>
    <w:rsid w:val="00AC1299"/>
    <w:rsid w:val="00AE10A3"/>
    <w:rsid w:val="00AF261A"/>
    <w:rsid w:val="00AF4170"/>
    <w:rsid w:val="00B01863"/>
    <w:rsid w:val="00B1132F"/>
    <w:rsid w:val="00B11D9D"/>
    <w:rsid w:val="00B16E06"/>
    <w:rsid w:val="00B36E61"/>
    <w:rsid w:val="00B43262"/>
    <w:rsid w:val="00B54A34"/>
    <w:rsid w:val="00B62B41"/>
    <w:rsid w:val="00B63EF5"/>
    <w:rsid w:val="00B65E3B"/>
    <w:rsid w:val="00B66210"/>
    <w:rsid w:val="00B7466F"/>
    <w:rsid w:val="00B748E9"/>
    <w:rsid w:val="00B74D98"/>
    <w:rsid w:val="00B8371A"/>
    <w:rsid w:val="00B86FA0"/>
    <w:rsid w:val="00B9164F"/>
    <w:rsid w:val="00B962DC"/>
    <w:rsid w:val="00BA4F8B"/>
    <w:rsid w:val="00BC63B6"/>
    <w:rsid w:val="00BD296D"/>
    <w:rsid w:val="00BE0336"/>
    <w:rsid w:val="00BE0D40"/>
    <w:rsid w:val="00BF5B8C"/>
    <w:rsid w:val="00C10FFE"/>
    <w:rsid w:val="00C20B1C"/>
    <w:rsid w:val="00C46B80"/>
    <w:rsid w:val="00C47A35"/>
    <w:rsid w:val="00C50008"/>
    <w:rsid w:val="00C54E4A"/>
    <w:rsid w:val="00C6507E"/>
    <w:rsid w:val="00C875F4"/>
    <w:rsid w:val="00CA2134"/>
    <w:rsid w:val="00CA44F9"/>
    <w:rsid w:val="00CA68B8"/>
    <w:rsid w:val="00CC3716"/>
    <w:rsid w:val="00CC696A"/>
    <w:rsid w:val="00CD3CF8"/>
    <w:rsid w:val="00CD74A8"/>
    <w:rsid w:val="00CE613E"/>
    <w:rsid w:val="00CE6986"/>
    <w:rsid w:val="00CF287F"/>
    <w:rsid w:val="00D06B53"/>
    <w:rsid w:val="00D06F9B"/>
    <w:rsid w:val="00D163E9"/>
    <w:rsid w:val="00D17B53"/>
    <w:rsid w:val="00D22DEE"/>
    <w:rsid w:val="00D247C8"/>
    <w:rsid w:val="00D26DFD"/>
    <w:rsid w:val="00D32117"/>
    <w:rsid w:val="00D57FD7"/>
    <w:rsid w:val="00D60D51"/>
    <w:rsid w:val="00D740D4"/>
    <w:rsid w:val="00D943F7"/>
    <w:rsid w:val="00DA715D"/>
    <w:rsid w:val="00DB625B"/>
    <w:rsid w:val="00DC2AC8"/>
    <w:rsid w:val="00DD24FC"/>
    <w:rsid w:val="00DF6349"/>
    <w:rsid w:val="00E12337"/>
    <w:rsid w:val="00E31D0C"/>
    <w:rsid w:val="00E608BE"/>
    <w:rsid w:val="00E9210E"/>
    <w:rsid w:val="00E95232"/>
    <w:rsid w:val="00E95D77"/>
    <w:rsid w:val="00EA2563"/>
    <w:rsid w:val="00EA3CB0"/>
    <w:rsid w:val="00EA6A88"/>
    <w:rsid w:val="00EB7971"/>
    <w:rsid w:val="00EB7E93"/>
    <w:rsid w:val="00EC3081"/>
    <w:rsid w:val="00ED4EF4"/>
    <w:rsid w:val="00ED7F00"/>
    <w:rsid w:val="00EE32C4"/>
    <w:rsid w:val="00EE5976"/>
    <w:rsid w:val="00EE77D5"/>
    <w:rsid w:val="00F10336"/>
    <w:rsid w:val="00F26B52"/>
    <w:rsid w:val="00F60E2E"/>
    <w:rsid w:val="00F615EA"/>
    <w:rsid w:val="00F714B6"/>
    <w:rsid w:val="00F71A74"/>
    <w:rsid w:val="00F817FD"/>
    <w:rsid w:val="00FA1AC2"/>
    <w:rsid w:val="00FA294A"/>
    <w:rsid w:val="00FA3FCE"/>
    <w:rsid w:val="00FD14C7"/>
    <w:rsid w:val="00FD1FCF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AFEC"/>
  <w15:docId w15:val="{C9A4B4A1-C183-4C2F-8449-B979CDA0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5EF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05EF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7A05EF"/>
    <w:pPr>
      <w:ind w:left="720"/>
      <w:contextualSpacing/>
    </w:pPr>
  </w:style>
  <w:style w:type="character" w:styleId="Komentaronuoroda">
    <w:name w:val="annotation reference"/>
    <w:uiPriority w:val="99"/>
    <w:unhideWhenUsed/>
    <w:rsid w:val="004271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1EB"/>
    <w:pPr>
      <w:spacing w:line="240" w:lineRule="auto"/>
    </w:pPr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4271E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1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271E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1EB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271EB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10AFD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910AF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10AFD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910AFD"/>
    <w:rPr>
      <w:sz w:val="22"/>
      <w:szCs w:val="22"/>
      <w:lang w:eastAsia="en-US"/>
    </w:rPr>
  </w:style>
  <w:style w:type="character" w:styleId="Hipersaitas">
    <w:name w:val="Hyperlink"/>
    <w:aliases w:val="Alna"/>
    <w:uiPriority w:val="99"/>
    <w:rsid w:val="00E608B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2D6BD5"/>
    <w:rPr>
      <w:color w:val="954F72"/>
      <w:u w:val="single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rsid w:val="002B60C1"/>
    <w:rPr>
      <w:sz w:val="22"/>
      <w:szCs w:val="22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C371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55C63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D38B-FEE1-4098-9E2A-4F74F4A2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Links>
    <vt:vector size="18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https://www.symantec.com/content/en/us/enterprise/fact_sheets/b-endpoint-protection-DS-21320633.pdf</vt:lpwstr>
      </vt:variant>
      <vt:variant>
        <vt:lpwstr/>
      </vt:variant>
      <vt:variant>
        <vt:i4>1179665</vt:i4>
      </vt:variant>
      <vt:variant>
        <vt:i4>3</vt:i4>
      </vt:variant>
      <vt:variant>
        <vt:i4>0</vt:i4>
      </vt:variant>
      <vt:variant>
        <vt:i4>5</vt:i4>
      </vt:variant>
      <vt:variant>
        <vt:lpwstr>https://www.symantec.com/content/dam/symantec/docs/data-sheets/endpoint-protection-14-en.pdf</vt:lpwstr>
      </vt:variant>
      <vt:variant>
        <vt:lpwstr/>
      </vt:variant>
      <vt:variant>
        <vt:i4>2162789</vt:i4>
      </vt:variant>
      <vt:variant>
        <vt:i4>0</vt:i4>
      </vt:variant>
      <vt:variant>
        <vt:i4>0</vt:i4>
      </vt:variant>
      <vt:variant>
        <vt:i4>5</vt:i4>
      </vt:variant>
      <vt:variant>
        <vt:lpwstr>https://support.symantec.com/us/en/article.howto81080.html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Struckienė</dc:creator>
  <cp:lastModifiedBy>ms.licencijos2023.1@gmail.com</cp:lastModifiedBy>
  <cp:revision>2</cp:revision>
  <dcterms:created xsi:type="dcterms:W3CDTF">2026-03-31T14:54:00Z</dcterms:created>
  <dcterms:modified xsi:type="dcterms:W3CDTF">2026-03-31T14:54:00Z</dcterms:modified>
</cp:coreProperties>
</file>