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32A4" w14:textId="77777777" w:rsidR="00000A59" w:rsidRDefault="00000A59" w:rsidP="00000A5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043A20F" wp14:editId="5DACE32D">
            <wp:extent cx="967740" cy="495617"/>
            <wp:effectExtent l="0" t="0" r="3810" b="0"/>
            <wp:docPr id="1819536414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36414" name="Picture 2" descr="A logo with text on i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67" cy="5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>
        <w:rPr>
          <w:b/>
          <w:bCs/>
          <w:noProof/>
        </w:rPr>
        <w:drawing>
          <wp:inline distT="0" distB="0" distL="0" distR="0" wp14:anchorId="4C942B5C" wp14:editId="6B50457B">
            <wp:extent cx="1341120" cy="373059"/>
            <wp:effectExtent l="0" t="0" r="0" b="8255"/>
            <wp:docPr id="1077724003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24003" name="Picture 3" descr="A close-up of a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604" cy="38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867074" wp14:editId="1D94D3DB">
            <wp:extent cx="1200844" cy="426720"/>
            <wp:effectExtent l="0" t="0" r="0" b="0"/>
            <wp:docPr id="1023802830" name="Picture 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02830" name="Picture 4" descr="A blue and white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74" cy="43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3DEDA" w14:textId="77777777" w:rsidR="00000A59" w:rsidRDefault="00000A59" w:rsidP="00AD3E9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</w:pPr>
    </w:p>
    <w:p w14:paraId="0E792F81" w14:textId="77777777" w:rsidR="00000A59" w:rsidRDefault="00000A59" w:rsidP="00AD3E9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</w:pPr>
    </w:p>
    <w:p w14:paraId="529CE949" w14:textId="77777777" w:rsidR="00E04EBD" w:rsidRDefault="00E04EBD" w:rsidP="00E04EB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</w:pPr>
    </w:p>
    <w:p w14:paraId="124F19EA" w14:textId="77777777" w:rsidR="00F047E8" w:rsidRDefault="00157F1E" w:rsidP="62F55C9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  <w:t>Į</w:t>
      </w:r>
      <w:r w:rsidRPr="00157F1E"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  <w:t>RANKIO, SKIRTO ĮMONIŲ DEKARBONIZACIJOS TRAJEKTORIJŲ NUSTATYMUI IR PAŽANGOS STEBĖJIMUI, KŪRIMO PASLAUG</w:t>
      </w:r>
      <w:r w:rsidR="00F047E8"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  <w:t>OS</w:t>
      </w:r>
    </w:p>
    <w:p w14:paraId="4F7B1C23" w14:textId="49425F4E" w:rsidR="00F069DC" w:rsidRDefault="00157F1E" w:rsidP="62F55C9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  <w:t xml:space="preserve"> </w:t>
      </w:r>
    </w:p>
    <w:p w14:paraId="2CB3DDFF" w14:textId="23FB231A" w:rsidR="005D23FB" w:rsidRDefault="005D23FB" w:rsidP="62F55C9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</w:pPr>
      <w:r w:rsidRPr="62F55C98"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  <w:t>techninė specifikacija</w:t>
      </w:r>
    </w:p>
    <w:p w14:paraId="4E99F8C4" w14:textId="77777777" w:rsidR="00F069DC" w:rsidRPr="00D72019" w:rsidRDefault="00F069DC" w:rsidP="62F55C9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</w:pPr>
    </w:p>
    <w:p w14:paraId="1B52569D" w14:textId="77777777" w:rsidR="00AD3E9B" w:rsidRDefault="05CDCD6D" w:rsidP="62F55C9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62F55C98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SANTRUMPOS</w:t>
      </w:r>
      <w:r w:rsidRPr="62F55C98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:</w:t>
      </w:r>
    </w:p>
    <w:p w14:paraId="612CE1F3" w14:textId="77777777" w:rsidR="00E91B85" w:rsidRPr="00E91B85" w:rsidRDefault="00E91B85" w:rsidP="62F55C9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5F1A4EDF" w14:textId="77777777" w:rsidR="00FD07DE" w:rsidRPr="00FD07DE" w:rsidRDefault="00FD07DE" w:rsidP="00FD07DE">
      <w:pPr>
        <w:spacing w:after="0" w:line="240" w:lineRule="auto"/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</w:pPr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 xml:space="preserve">EU TP – Su Europos klimato įsipareigojimais susieti </w:t>
      </w:r>
      <w:proofErr w:type="spellStart"/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>dekarbonizacijos</w:t>
      </w:r>
      <w:proofErr w:type="spellEnd"/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 xml:space="preserve"> scenarijai, </w:t>
      </w:r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 xml:space="preserve">angl. </w:t>
      </w:r>
      <w:proofErr w:type="spellStart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>European</w:t>
      </w:r>
      <w:proofErr w:type="spellEnd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 xml:space="preserve"> </w:t>
      </w:r>
      <w:proofErr w:type="spellStart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>Climate</w:t>
      </w:r>
      <w:proofErr w:type="spellEnd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 xml:space="preserve"> </w:t>
      </w:r>
      <w:proofErr w:type="spellStart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>Law-aligned</w:t>
      </w:r>
      <w:proofErr w:type="spellEnd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 xml:space="preserve"> </w:t>
      </w:r>
      <w:proofErr w:type="spellStart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>Transition</w:t>
      </w:r>
      <w:proofErr w:type="spellEnd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 xml:space="preserve"> </w:t>
      </w:r>
      <w:proofErr w:type="spellStart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>Pathways</w:t>
      </w:r>
      <w:proofErr w:type="spellEnd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>.</w:t>
      </w:r>
    </w:p>
    <w:p w14:paraId="24A47419" w14:textId="77777777" w:rsidR="00FD07DE" w:rsidRPr="00FD07DE" w:rsidRDefault="00FD07DE" w:rsidP="00FD07DE">
      <w:pPr>
        <w:spacing w:after="0" w:line="240" w:lineRule="auto"/>
        <w:rPr>
          <w:rFonts w:ascii="Arial" w:eastAsia="Times New Roman" w:hAnsi="Arial" w:cs="Arial"/>
          <w:color w:val="00435B"/>
          <w:sz w:val="20"/>
          <w:szCs w:val="20"/>
        </w:rPr>
      </w:pPr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>ES – Europos S</w:t>
      </w:r>
      <w:proofErr w:type="spellStart"/>
      <w:r w:rsidRPr="00FD07DE">
        <w:rPr>
          <w:rFonts w:ascii="Arial" w:eastAsia="Times New Roman" w:hAnsi="Arial" w:cs="Arial"/>
          <w:color w:val="00435B"/>
          <w:sz w:val="20"/>
          <w:szCs w:val="20"/>
        </w:rPr>
        <w:t>ąjunga</w:t>
      </w:r>
      <w:proofErr w:type="spellEnd"/>
    </w:p>
    <w:p w14:paraId="201D6BD5" w14:textId="16B8C542" w:rsidR="00FD07DE" w:rsidRPr="00FD07DE" w:rsidRDefault="00FD07DE" w:rsidP="00FD07DE">
      <w:pPr>
        <w:spacing w:after="0" w:line="240" w:lineRule="auto"/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</w:pPr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 xml:space="preserve">ŠESD </w:t>
      </w:r>
      <w:r w:rsidR="00660978">
        <w:rPr>
          <w:rFonts w:ascii="Arial" w:eastAsia="Times New Roman" w:hAnsi="Arial" w:cs="Arial"/>
          <w:color w:val="00435B"/>
          <w:sz w:val="20"/>
          <w:szCs w:val="20"/>
          <w:lang w:val="lt"/>
        </w:rPr>
        <w:t>–</w:t>
      </w:r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 xml:space="preserve"> šiltnamio</w:t>
      </w:r>
      <w:r w:rsidR="00660978">
        <w:rPr>
          <w:rFonts w:ascii="Arial" w:eastAsia="Times New Roman" w:hAnsi="Arial" w:cs="Arial"/>
          <w:color w:val="00435B"/>
          <w:sz w:val="20"/>
          <w:szCs w:val="20"/>
          <w:lang w:val="lt"/>
        </w:rPr>
        <w:t xml:space="preserve"> </w:t>
      </w:r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 xml:space="preserve">efektą sukeliančios dujos, </w:t>
      </w:r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 xml:space="preserve">angl. GHG, </w:t>
      </w:r>
      <w:proofErr w:type="spellStart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>Greenhouse</w:t>
      </w:r>
      <w:proofErr w:type="spellEnd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 xml:space="preserve"> </w:t>
      </w:r>
      <w:proofErr w:type="spellStart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>Gases</w:t>
      </w:r>
      <w:proofErr w:type="spellEnd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>.</w:t>
      </w:r>
    </w:p>
    <w:p w14:paraId="23BE960F" w14:textId="77777777" w:rsidR="00FD07DE" w:rsidRPr="00FD07DE" w:rsidRDefault="00FD07DE" w:rsidP="00FD07DE">
      <w:pPr>
        <w:spacing w:after="0" w:line="240" w:lineRule="auto"/>
        <w:rPr>
          <w:rFonts w:ascii="Arial" w:eastAsia="Times New Roman" w:hAnsi="Arial" w:cs="Arial"/>
          <w:color w:val="00435B"/>
          <w:sz w:val="20"/>
          <w:szCs w:val="20"/>
          <w:lang w:val="lt"/>
        </w:rPr>
      </w:pPr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>ŠESD protokolas (</w:t>
      </w:r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 xml:space="preserve">angl. GHG </w:t>
      </w:r>
      <w:proofErr w:type="spellStart"/>
      <w:r w:rsidRPr="00FD07DE">
        <w:rPr>
          <w:rFonts w:ascii="Arial" w:eastAsia="Times New Roman" w:hAnsi="Arial" w:cs="Arial"/>
          <w:i/>
          <w:iCs/>
          <w:color w:val="00435B"/>
          <w:sz w:val="20"/>
          <w:szCs w:val="20"/>
          <w:lang w:val="lt"/>
        </w:rPr>
        <w:t>Protocol</w:t>
      </w:r>
      <w:proofErr w:type="spellEnd"/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>) – tarptautinis šiltnamio efektą sukeliančių dujų apskaitos ir ataskaitų teikimo standartas, naudojamas įmonių, miestų ir valstybių emisijoms nuosekliai, palyginamai ir skaidriai skaičiuoti.</w:t>
      </w:r>
    </w:p>
    <w:p w14:paraId="618F8275" w14:textId="48F8601C" w:rsidR="00FD07DE" w:rsidRPr="00FD07DE" w:rsidRDefault="00FD07DE" w:rsidP="00FD07DE">
      <w:pPr>
        <w:spacing w:after="0" w:line="240" w:lineRule="auto"/>
        <w:rPr>
          <w:rFonts w:ascii="Arial" w:eastAsia="Times New Roman" w:hAnsi="Arial" w:cs="Arial"/>
          <w:color w:val="00435B"/>
          <w:sz w:val="20"/>
          <w:szCs w:val="20"/>
          <w:lang w:val="lt"/>
        </w:rPr>
      </w:pPr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 xml:space="preserve">1 ŠESD emisijų lygis </w:t>
      </w:r>
      <w:r w:rsidR="00660978">
        <w:rPr>
          <w:rFonts w:ascii="Arial" w:eastAsia="Times New Roman" w:hAnsi="Arial" w:cs="Arial"/>
          <w:color w:val="00435B"/>
          <w:sz w:val="20"/>
          <w:szCs w:val="20"/>
          <w:lang w:val="lt"/>
        </w:rPr>
        <w:t>–</w:t>
      </w:r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 xml:space="preserve"> apima</w:t>
      </w:r>
      <w:r w:rsidR="00660978">
        <w:rPr>
          <w:rFonts w:ascii="Arial" w:eastAsia="Times New Roman" w:hAnsi="Arial" w:cs="Arial"/>
          <w:color w:val="00435B"/>
          <w:sz w:val="20"/>
          <w:szCs w:val="20"/>
          <w:lang w:val="lt"/>
        </w:rPr>
        <w:t xml:space="preserve"> </w:t>
      </w:r>
      <w:r w:rsidRPr="00FD07DE">
        <w:rPr>
          <w:rFonts w:ascii="Arial" w:eastAsia="Times New Roman" w:hAnsi="Arial" w:cs="Arial"/>
          <w:color w:val="00435B"/>
          <w:sz w:val="20"/>
          <w:szCs w:val="20"/>
          <w:lang w:val="lt"/>
        </w:rPr>
        <w:t>tiesiogines emisijas, kurias įmonė pati išmeta ir kontroliuoja, pavyzdžiui, deginant kurą įmonės nuosavose transporto priemonėse, gamybos procesuose ar katilinėse (taikytinas apibrėžimas pagal ŠESD protokolą).</w:t>
      </w:r>
    </w:p>
    <w:p w14:paraId="56865611" w14:textId="77777777" w:rsidR="00E91B85" w:rsidRPr="00FD07DE" w:rsidRDefault="00E91B85" w:rsidP="62F55C98">
      <w:pPr>
        <w:spacing w:after="0" w:line="240" w:lineRule="auto"/>
        <w:rPr>
          <w:rFonts w:ascii="Arial" w:eastAsia="Times New Roman" w:hAnsi="Arial" w:cs="Arial"/>
          <w:color w:val="00435B"/>
          <w:sz w:val="20"/>
          <w:szCs w:val="20"/>
          <w:lang w:val="lt"/>
        </w:rPr>
      </w:pPr>
    </w:p>
    <w:p w14:paraId="40D1870C" w14:textId="77777777" w:rsidR="00AD3E9B" w:rsidRPr="00D72019" w:rsidRDefault="00AD3E9B" w:rsidP="62F55C9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62F55C98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 </w:t>
      </w:r>
    </w:p>
    <w:p w14:paraId="67EE13FA" w14:textId="5177D18B" w:rsidR="008A2B7E" w:rsidRDefault="00AD3E9B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8A2B7E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VIEŠOJO PIRKIMO OBJEKTAS</w:t>
      </w:r>
      <w:r w:rsidR="0028715F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r w:rsidR="00DB5722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–</w:t>
      </w:r>
      <w:r w:rsidR="00F047E8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r w:rsidR="006D73C8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į</w:t>
      </w:r>
      <w:r w:rsidR="008A2B7E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rankio</w:t>
      </w:r>
      <w:r w:rsidR="00F047E8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, skirto įmonių </w:t>
      </w:r>
      <w:proofErr w:type="spellStart"/>
      <w:r w:rsidR="00F047E8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="00EA29C6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r w:rsidR="0051782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trajektorijų nustatymui ir pažangos stebėjimui</w:t>
      </w:r>
      <w:r w:rsidR="008A2B7E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kūrimo paslaugos (toliau – Paslaugos), kuri</w:t>
      </w:r>
      <w:r w:rsidR="00B7453F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o esminės </w:t>
      </w:r>
      <w:r w:rsidR="008A2B7E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dalys:</w:t>
      </w:r>
    </w:p>
    <w:p w14:paraId="6B76F06B" w14:textId="4F779E5C" w:rsidR="004C16B3" w:rsidRPr="00B7453F" w:rsidRDefault="67EAF28D" w:rsidP="004C16B3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Nacionalinio </w:t>
      </w:r>
      <w:proofErr w:type="spellStart"/>
      <w:r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</w:t>
      </w:r>
      <w:r w:rsidR="008A2B7E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ekarbonizacijos</w:t>
      </w:r>
      <w:proofErr w:type="spellEnd"/>
      <w:r w:rsidR="008A2B7E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</w:t>
      </w:r>
      <w:r w:rsidR="3B8EAE84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o</w:t>
      </w:r>
      <w:r w:rsidR="45BE9210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r w:rsidR="6363568E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(toliau – </w:t>
      </w:r>
      <w:proofErr w:type="spellStart"/>
      <w:r w:rsidR="6363568E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="6363568E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įrankis) </w:t>
      </w:r>
      <w:r w:rsidR="45BE9210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sukūrimas bei</w:t>
      </w:r>
      <w:r w:rsidR="008A2B7E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pritaik</w:t>
      </w:r>
      <w:r w:rsidR="00A860CB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y</w:t>
      </w:r>
      <w:r w:rsidR="008A2B7E"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mas įmonės lygmeniu</w:t>
      </w:r>
      <w:r w:rsidR="009226B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,</w:t>
      </w:r>
      <w:r w:rsidR="00170884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r w:rsidR="009226B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parenkant optimalų technologinį sprendimą. </w:t>
      </w:r>
      <w:proofErr w:type="spellStart"/>
      <w:r w:rsidR="009226B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="009226B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įrankis gali </w:t>
      </w:r>
      <w:r w:rsidR="004C16B3" w:rsidRPr="00B7453F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būti įgyvendinamas, pavyzdžiui, kaip internetinis sprendimas su grafine vartotojo sąsaja (GUI)</w:t>
      </w:r>
      <w:r w:rsidR="00E23775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ar kitu tiekėjo pasiūlytu technologiniu sprendimu</w:t>
      </w:r>
      <w:r w:rsidR="00D059F4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.</w:t>
      </w:r>
    </w:p>
    <w:p w14:paraId="1F541837" w14:textId="3F7CBFE4" w:rsidR="00170884" w:rsidRDefault="5504C298" w:rsidP="00170884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proofErr w:type="spellStart"/>
      <w:r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8A2B7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įrankio</w:t>
      </w:r>
      <w:r w:rsidR="006D50FD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patikslinimas po Pirkėjo atlikto </w:t>
      </w:r>
      <w:proofErr w:type="spellStart"/>
      <w:r w:rsidR="006D50FD" w:rsidRPr="006D50FD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="006D50FD" w:rsidRPr="006D50FD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įrankio </w:t>
      </w:r>
      <w:r w:rsidR="00170884" w:rsidRPr="006D50FD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išbandym</w:t>
      </w:r>
      <w:r w:rsidR="006D50FD" w:rsidRPr="006D50FD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o</w:t>
      </w:r>
      <w:r w:rsidR="00170884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(testavim</w:t>
      </w:r>
      <w:r w:rsidR="006D50FD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o</w:t>
      </w:r>
      <w:r w:rsidR="00170884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)</w:t>
      </w:r>
      <w:r w:rsidR="00671AEB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pateiktų pastabų</w:t>
      </w:r>
      <w:r w:rsidR="00170884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.</w:t>
      </w:r>
    </w:p>
    <w:p w14:paraId="77FADB00" w14:textId="1469A522" w:rsidR="00AD3E9B" w:rsidRPr="00310F65" w:rsidRDefault="00C20940" w:rsidP="62F55C98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proofErr w:type="spellStart"/>
      <w:r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</w:t>
      </w:r>
      <w:r w:rsidR="00310F65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rankio n</w:t>
      </w:r>
      <w:r w:rsidR="5504C298" w:rsidRPr="00170884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audojimo p</w:t>
      </w:r>
      <w:r w:rsidR="008A2B7E" w:rsidRPr="00170884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aaiškinamo</w:t>
      </w:r>
      <w:r w:rsidR="005C018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sios</w:t>
      </w:r>
      <w:r w:rsidR="008A2B7E" w:rsidRPr="00170884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medžiag</w:t>
      </w:r>
      <w:r w:rsidR="005C018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os parengimas</w:t>
      </w:r>
      <w:r w:rsidR="008A2B7E" w:rsidRPr="00170884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.</w:t>
      </w:r>
    </w:p>
    <w:p w14:paraId="6DB0883B" w14:textId="77777777" w:rsidR="00AD3E9B" w:rsidRPr="00D72019" w:rsidRDefault="00AD3E9B" w:rsidP="62F55C9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28673BBE" w14:textId="77777777" w:rsidR="00AD3E9B" w:rsidRDefault="00AD3E9B" w:rsidP="62F55C9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62F55C98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BENDROJI INFORMACIJA</w:t>
      </w:r>
      <w:r w:rsidRPr="62F55C98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 </w:t>
      </w:r>
    </w:p>
    <w:p w14:paraId="4BB2B46D" w14:textId="77777777" w:rsidR="00D922BC" w:rsidRPr="00D72019" w:rsidRDefault="00D922BC" w:rsidP="00D922BC">
      <w:pPr>
        <w:pStyle w:val="ListParagraph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3B2FE794" w14:textId="1FD05768" w:rsidR="00D922BC" w:rsidRPr="00D922BC" w:rsidRDefault="00D922BC" w:rsidP="00D922BC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Europos Sąjunga (ES) siekia tapti klimatui neutrali iki 2050 m., numatant tarpinius tikslus šiame kelyje. Pasirengdamos savo </w:t>
      </w:r>
      <w:proofErr w:type="spellStart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planus, įmonės gali parodyti, kaip jos prisideda prie ES klimato </w:t>
      </w:r>
      <w:r w:rsidR="009F3D9D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srities </w:t>
      </w:r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tikslų, kartu mažindamos su tuo susijusias rizikas ir didindamos verslo galimybes. Sektorių </w:t>
      </w:r>
      <w:proofErr w:type="spellStart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trajektorijos padeda užpildyti spragą tarp įmonių veiksmų ir visos ekonomikos klimato</w:t>
      </w:r>
      <w:r w:rsidR="008D4A6A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sritie</w:t>
      </w:r>
      <w:r w:rsidR="0034565B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s</w:t>
      </w:r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tikslų. 2025 m. lapkričio mėnesį buvo paskelbti su Europos klimato</w:t>
      </w:r>
      <w:r w:rsidR="005C1FB2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srities</w:t>
      </w:r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įsipareigojimais susieti sektorių </w:t>
      </w:r>
      <w:proofErr w:type="spellStart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scenarijai</w:t>
      </w:r>
      <w:r w:rsidRPr="005C1FB2">
        <w:rPr>
          <w:rFonts w:ascii="Arial" w:eastAsia="Times New Roman" w:hAnsi="Arial" w:cs="Arial"/>
          <w:color w:val="00435B"/>
          <w:kern w:val="0"/>
          <w:sz w:val="20"/>
          <w:szCs w:val="20"/>
          <w:vertAlign w:val="superscript"/>
          <w14:ligatures w14:val="none"/>
        </w:rPr>
        <w:footnoteReference w:id="2"/>
      </w:r>
      <w:r w:rsidRPr="005C1FB2">
        <w:rPr>
          <w:rFonts w:ascii="Arial" w:eastAsia="Times New Roman" w:hAnsi="Arial" w:cs="Arial"/>
          <w:color w:val="00435B"/>
          <w:kern w:val="0"/>
          <w:sz w:val="20"/>
          <w:szCs w:val="20"/>
          <w:vertAlign w:val="superscript"/>
          <w14:ligatures w14:val="none"/>
        </w:rPr>
        <w:t xml:space="preserve"> </w:t>
      </w:r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(EU TP). Šie scenarijai padės įmonėms savo </w:t>
      </w:r>
      <w:proofErr w:type="spellStart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planus suderinti su nacionaliniais ir europiniais tikslais. </w:t>
      </w:r>
    </w:p>
    <w:p w14:paraId="37D3FEF8" w14:textId="77777777" w:rsidR="00D922BC" w:rsidRPr="00D922BC" w:rsidRDefault="00D922BC" w:rsidP="00D922BC">
      <w:pPr>
        <w:pStyle w:val="ListParagraph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5AE94C1B" w14:textId="77777777" w:rsidR="00D922BC" w:rsidRPr="00D922BC" w:rsidRDefault="00D922BC" w:rsidP="00D922BC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proofErr w:type="spellStart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trajektorijos yra būtinos tam, kad abstraktų klimato neutralumo tikslą galima būtų paversti realiais pamatuojamais ir suprantamais įmonių veiksmais, palengvinant verslo prisitaikymą, užtikrinant tiek verslo, tiek valstybės investicijų efektyvumą. </w:t>
      </w:r>
    </w:p>
    <w:p w14:paraId="431983BF" w14:textId="77777777" w:rsidR="00D922BC" w:rsidRPr="00D922BC" w:rsidRDefault="00D922BC" w:rsidP="00D922BC">
      <w:pPr>
        <w:pStyle w:val="ListParagraph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44E00B5B" w14:textId="21078620" w:rsidR="00D922BC" w:rsidRPr="00D922BC" w:rsidRDefault="00D922BC" w:rsidP="00D922BC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Įmonėms, kurios veikia pagal ŠESD emisijas taršiausiuose sektoriuose, itin svarbu nustatyti </w:t>
      </w:r>
      <w:proofErr w:type="spellStart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tikslus ir nusimatyti konkrečias įgyvendinimo priemones tam, kad pažanga būtų daroma tikslingai ir laiku. Kitu atveju, nematant pakankamai aiškių ilgalaikių trajektorijų, įmonės gali atidėlioti reikalingas investicijas, o </w:t>
      </w:r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lastRenderedPageBreak/>
        <w:t>veikiant pavėluotai – kyla rizika nespėti pasiekti nustatytų tikslų. Tai gali grėsti mokesčių, susietų su ŠESD išmetimais, didėjimu, griežtesniu reguliavimu, o tai didins veiklos kaštus ir mažins Lietuvos įmonių konkurencingumą.</w:t>
      </w:r>
    </w:p>
    <w:p w14:paraId="62207B26" w14:textId="77777777" w:rsidR="00D922BC" w:rsidRPr="00D922BC" w:rsidRDefault="00D922BC" w:rsidP="00D922BC">
      <w:pPr>
        <w:pStyle w:val="ListParagraph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13213986" w14:textId="77777777" w:rsidR="00D922BC" w:rsidRPr="00D922BC" w:rsidRDefault="00D922BC" w:rsidP="00D922BC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Lietuvoje situacija su įmonių </w:t>
      </w:r>
      <w:proofErr w:type="spellStart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planais yra gana įvairi. Nors dalis didžiųjų verslų jau aktyviai rengia išsamias </w:t>
      </w:r>
      <w:proofErr w:type="spellStart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strategijas, tačiau nemaža dalis įmonių vis dar nesugeba arba nesiryžta parengti planų, susijusių su išmetamųjų ŠESD mažinimu. Tai lemia įvairios priežastys, tokios kaip: mažesnės įmonės dažnai neturi tvarumo specialistų, o konsultantų paslaugos yra per brangios, </w:t>
      </w:r>
      <w:proofErr w:type="spellStart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D9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metodikos, skaičiavimai ir ES reikalavimai atrodo sudėtingi, trukdo kalbos barjeras, nes informacija lietuvių kalba ribota, įmonės nežino, nuo ko pradėti ar kaip apskaičiuoti savo išmetamųjų ŠESD kiekius.</w:t>
      </w:r>
    </w:p>
    <w:p w14:paraId="7CA87F8D" w14:textId="77777777" w:rsidR="00D922BC" w:rsidRPr="00D922BC" w:rsidRDefault="00D922BC" w:rsidP="00D922BC">
      <w:pPr>
        <w:pStyle w:val="ListParagraph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1B6BA8B0" w14:textId="43AFEC8D" w:rsidR="00AD3E9B" w:rsidRPr="0065188E" w:rsidRDefault="00D922BC" w:rsidP="00D475D2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65188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Siekiant padėti įmonėms, kad Lietuvos ekonomikos transformacija vyktų atsižvelgiant į Europos Sąjungos klimato </w:t>
      </w:r>
      <w:r w:rsidR="0065188E" w:rsidRPr="0065188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srities </w:t>
      </w:r>
      <w:r w:rsidRPr="0065188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įsipareigojimus, pasaulinius tvaraus vystymosi tikslus, ir nacionalinius iškeltus ŠESD mažinimo tikslus, įmonėms reikalingi lengvai prieinami ir paprastai naudojami įrankiai, kurie padėtų nustatyti tinkamas ir metodiškai su ES tikslais suderintas </w:t>
      </w:r>
      <w:proofErr w:type="spellStart"/>
      <w:r w:rsidRPr="0065188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65188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trajektorijas.</w:t>
      </w:r>
      <w:r w:rsidR="0065188E" w:rsidRPr="0065188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r w:rsidR="004C356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Be to,</w:t>
      </w:r>
      <w:r w:rsidR="0065188E" w:rsidRPr="0065188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reikalingas sprendimas, kuris būtų ne tik </w:t>
      </w:r>
      <w:r w:rsidR="004C356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metodiškai</w:t>
      </w:r>
      <w:r w:rsidR="0065188E" w:rsidRPr="0065188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pagrįstas, bet ir technologiniu požiūriu pritaikytas skirtingo dydžio ir brandos įmonėms.</w:t>
      </w:r>
    </w:p>
    <w:p w14:paraId="302EB4C4" w14:textId="77777777" w:rsidR="00AD3E9B" w:rsidRPr="00E35073" w:rsidRDefault="00AD3E9B" w:rsidP="00E3507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0AD99554" w14:textId="747D18C9" w:rsidR="00AD3E9B" w:rsidRPr="00D72019" w:rsidRDefault="05C9B7E3" w:rsidP="00AD3E9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</w:pPr>
      <w:r w:rsidRPr="00D72019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 xml:space="preserve">PASLAUGŲ </w:t>
      </w:r>
      <w:r w:rsidR="00AD3E9B" w:rsidRPr="00D72019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TIKSLA</w:t>
      </w:r>
      <w:r w:rsidR="116B1E9E" w:rsidRPr="00D72019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I:</w:t>
      </w:r>
    </w:p>
    <w:p w14:paraId="58426DFD" w14:textId="77777777" w:rsidR="00AD3E9B" w:rsidRPr="00D72019" w:rsidRDefault="00AD3E9B" w:rsidP="00AD3E9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560EEC8B" w14:textId="467BE7EA" w:rsidR="00325747" w:rsidRDefault="004A57E3" w:rsidP="004A57E3">
      <w:pPr>
        <w:pStyle w:val="ListParagraph"/>
        <w:numPr>
          <w:ilvl w:val="1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4A57E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Sukurti </w:t>
      </w:r>
      <w:proofErr w:type="spellStart"/>
      <w:r w:rsidR="3EF97301" w:rsidRPr="004A57E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</w:t>
      </w:r>
      <w:r w:rsidRPr="004A57E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ekarbonizacijos</w:t>
      </w:r>
      <w:proofErr w:type="spellEnd"/>
      <w:r w:rsidRPr="004A57E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įrankį, pritaikomą</w:t>
      </w:r>
      <w:r w:rsidR="00B8525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skirtinguose</w:t>
      </w:r>
      <w:r w:rsidRPr="004A57E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r w:rsidR="00B8525E" w:rsidRPr="004A57E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sektori</w:t>
      </w:r>
      <w:r w:rsidR="00B8525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uose veikiančioms įmonėms, </w:t>
      </w:r>
      <w:r w:rsidR="00B8525E" w:rsidRPr="004A57E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leid</w:t>
      </w:r>
      <w:r w:rsidR="00B8525E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žiantį </w:t>
      </w:r>
      <w:r w:rsidRPr="004A57E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nusistatyti su EU TP suderintas </w:t>
      </w:r>
      <w:proofErr w:type="spellStart"/>
      <w:r w:rsidRPr="004A57E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4A57E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trajektorijas.</w:t>
      </w:r>
    </w:p>
    <w:p w14:paraId="5B9C351D" w14:textId="0FD0252C" w:rsidR="00CB6E53" w:rsidRPr="00CB6E53" w:rsidRDefault="00CB6E53" w:rsidP="00CB6E53">
      <w:pPr>
        <w:pStyle w:val="ListParagraph"/>
        <w:numPr>
          <w:ilvl w:val="1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CB6E5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Parengti praktiš</w:t>
      </w:r>
      <w:r w:rsidR="000C7CAB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ką ir lengvai suprantamą </w:t>
      </w:r>
      <w:proofErr w:type="spellStart"/>
      <w:r w:rsidR="0CF8419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="0CF8419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įrankio naudojimo </w:t>
      </w:r>
      <w:r w:rsidRPr="00CB6E5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paaiškinamąją medžiagą, kuri padėtų įmonėms suprasti įrankio veikimo principus, reikalingus duomenis ir jų apskaičiavimo logiką.</w:t>
      </w:r>
    </w:p>
    <w:p w14:paraId="11C3C935" w14:textId="149AD1B0" w:rsidR="00CB6E53" w:rsidRPr="00325747" w:rsidRDefault="00CB6E53" w:rsidP="00CB6E53">
      <w:pPr>
        <w:pStyle w:val="ListParagraph"/>
        <w:numPr>
          <w:ilvl w:val="1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CB6E5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Sudaryti sąlygas įmonėms savarankiškai, be išorinių konsultantų pagalbos,</w:t>
      </w:r>
      <w:r w:rsidR="007B512D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remiantis jau apskaičiuotais ŠESD emisijų duomenimis,</w:t>
      </w:r>
      <w:r w:rsidRPr="00CB6E5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nusistatyti </w:t>
      </w:r>
      <w:proofErr w:type="spellStart"/>
      <w:r w:rsidRPr="00CB6E5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CB6E53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tikslus, suderintus su ES klimato politikos kryptimis.</w:t>
      </w:r>
    </w:p>
    <w:p w14:paraId="1F7B80D4" w14:textId="77777777" w:rsidR="00AD3E9B" w:rsidRPr="00D72019" w:rsidRDefault="00AD3E9B" w:rsidP="00AD3E9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6009FE69" w14:textId="0CD4C168" w:rsidR="00AD3E9B" w:rsidRPr="00D72019" w:rsidRDefault="4B289C51" w:rsidP="00AD3E9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</w:pPr>
      <w:r w:rsidRPr="00D72019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PASLAUG</w:t>
      </w:r>
      <w:r w:rsidR="061DBD1C" w:rsidRPr="00D72019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Ų TEIKIMO ETAPAI</w:t>
      </w:r>
      <w:r w:rsidR="00A57550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 xml:space="preserve"> IR APIMTIS</w:t>
      </w:r>
      <w:r w:rsidRPr="00D72019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:</w:t>
      </w:r>
    </w:p>
    <w:p w14:paraId="27E74437" w14:textId="77777777" w:rsidR="000C3CFB" w:rsidRDefault="000C3CFB" w:rsidP="4B36FDC2">
      <w:pPr>
        <w:pStyle w:val="ListParagraph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color w:val="00435B"/>
          <w:sz w:val="20"/>
          <w:szCs w:val="20"/>
        </w:rPr>
      </w:pPr>
    </w:p>
    <w:p w14:paraId="00BC7293" w14:textId="2A2173E5" w:rsidR="005C4208" w:rsidRPr="006F22BC" w:rsidRDefault="00CD0433" w:rsidP="0039634D">
      <w:pPr>
        <w:pStyle w:val="ListParagraph"/>
        <w:numPr>
          <w:ilvl w:val="1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Paslaugos teikiamos</w:t>
      </w:r>
      <w:r w:rsidR="00060E2B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r w:rsidR="00C10DBC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etapai</w:t>
      </w:r>
      <w:r w:rsidR="006913C0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s</w:t>
      </w:r>
      <w:r w:rsidR="00C10DBC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:</w:t>
      </w:r>
    </w:p>
    <w:p w14:paraId="16221967" w14:textId="01C6F0B1" w:rsidR="005C4208" w:rsidRPr="006F22BC" w:rsidRDefault="005C4208" w:rsidP="005C4208">
      <w:pPr>
        <w:pStyle w:val="ListParagraph"/>
        <w:numPr>
          <w:ilvl w:val="2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Tiekėjas pateikia siūlomo</w:t>
      </w:r>
      <w:r w:rsidR="001F6303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proofErr w:type="spellStart"/>
      <w:r w:rsidR="001F6303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="001F6303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įrankio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techninio sprendimo </w:t>
      </w:r>
      <w:r w:rsidR="00C10DBC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koncepcij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ą</w:t>
      </w:r>
      <w:r w:rsidR="00C10DBC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– </w:t>
      </w:r>
      <w:proofErr w:type="spellStart"/>
      <w:r w:rsidR="001F6303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="001F6303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įrankio struktūros, funkcionalumo bei vartotojo sąsajos sprendimų aprašymą;</w:t>
      </w:r>
    </w:p>
    <w:p w14:paraId="6D3BCAA3" w14:textId="1C9C677E" w:rsidR="005C4208" w:rsidRPr="006F22BC" w:rsidRDefault="005C4208" w:rsidP="005C4208">
      <w:pPr>
        <w:pStyle w:val="ListParagraph"/>
        <w:numPr>
          <w:ilvl w:val="2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Tiekėjas </w:t>
      </w:r>
      <w:r w:rsidR="0053383F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sukuria</w:t>
      </w:r>
      <w:r w:rsidR="001F6303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proofErr w:type="spellStart"/>
      <w:r w:rsidR="001F6303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</w:t>
      </w:r>
      <w:r w:rsidR="00C20940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į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ir </w:t>
      </w:r>
      <w:r w:rsidR="00C20940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jo 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paaiškinamosios medžiagos projekt</w:t>
      </w:r>
      <w:r w:rsidR="00C20940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ą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;</w:t>
      </w:r>
    </w:p>
    <w:p w14:paraId="1144BF8A" w14:textId="05BF491B" w:rsidR="005C4208" w:rsidRDefault="007561A2" w:rsidP="005C4208">
      <w:pPr>
        <w:pStyle w:val="ListParagraph"/>
        <w:numPr>
          <w:ilvl w:val="2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Pirkėjui a</w:t>
      </w:r>
      <w:r w:rsidR="005C4208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tli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kus</w:t>
      </w:r>
      <w:r w:rsidR="005C4208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sukurto</w:t>
      </w:r>
      <w:r w:rsidR="00C10DBC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</w:t>
      </w:r>
      <w:proofErr w:type="spellStart"/>
      <w:r w:rsidR="00C20940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="00C20940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įrankio </w:t>
      </w:r>
      <w:r w:rsidR="00C10DBC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testavim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ą</w:t>
      </w:r>
      <w:r w:rsidR="005C4208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ir 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pateikus </w:t>
      </w:r>
      <w:r w:rsidR="005C4208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pastabas 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Tiekėjas tikslina </w:t>
      </w:r>
      <w:proofErr w:type="spellStart"/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įrankį </w:t>
      </w:r>
      <w:r w:rsidR="005C4208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ir pateiki</w:t>
      </w:r>
      <w:r w:rsidR="0053383F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a</w:t>
      </w:r>
      <w:r w:rsidR="005C4208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galutin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ę </w:t>
      </w:r>
      <w:proofErr w:type="spellStart"/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="005C4208"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įrankio versij</w:t>
      </w:r>
      <w:r w:rsidRP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ą</w:t>
      </w:r>
      <w:r w:rsidR="006F22BC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;</w:t>
      </w:r>
    </w:p>
    <w:p w14:paraId="5A7E16DE" w14:textId="3172F28C" w:rsidR="006F22BC" w:rsidRPr="006F22BC" w:rsidRDefault="006F22BC" w:rsidP="005C4208">
      <w:pPr>
        <w:pStyle w:val="ListParagraph"/>
        <w:numPr>
          <w:ilvl w:val="2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Tiekėjas parengia </w:t>
      </w:r>
      <w:proofErr w:type="spellStart"/>
      <w:r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įrankio paaiškinamosios medžiagos galutinę versiją.</w:t>
      </w:r>
    </w:p>
    <w:p w14:paraId="1648EF2D" w14:textId="72C52F27" w:rsidR="00A57550" w:rsidRPr="00F40A17" w:rsidRDefault="00CD0433" w:rsidP="006F22BC">
      <w:pPr>
        <w:ind w:firstLine="709"/>
        <w:jc w:val="both"/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</w:pPr>
      <w:r w:rsidRPr="00F40A1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 xml:space="preserve">Paslaugų teikimo metu Tiekėjas </w:t>
      </w:r>
      <w:r w:rsidR="00932C6A" w:rsidRPr="00F40A1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pagal</w:t>
      </w:r>
      <w:r w:rsidR="00FC78D7" w:rsidRPr="00F40A1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 xml:space="preserve"> suderintą paslaugų teikimo grafiką</w:t>
      </w:r>
      <w:r w:rsidRPr="00F40A1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 xml:space="preserve"> derina tarpinius</w:t>
      </w:r>
      <w:r w:rsidR="00F34B45" w:rsidRPr="00F40A1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 xml:space="preserve"> siūlomus techninius, dizaino </w:t>
      </w:r>
      <w:r w:rsidR="00F92DC5" w:rsidRPr="00F40A1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 xml:space="preserve">sprendimus ir </w:t>
      </w:r>
      <w:r w:rsidRPr="00F40A1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rezultatus su Pirkėju</w:t>
      </w:r>
      <w:r w:rsidR="00684183" w:rsidRPr="00F40A1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14:ligatures w14:val="none"/>
        </w:rPr>
        <w:t>.</w:t>
      </w:r>
    </w:p>
    <w:p w14:paraId="104E4837" w14:textId="11AECDC7" w:rsidR="00D610EF" w:rsidRPr="00D610EF" w:rsidRDefault="00C20940" w:rsidP="00A57550">
      <w:pPr>
        <w:pStyle w:val="ListParagraph"/>
        <w:numPr>
          <w:ilvl w:val="1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Techniniai reikalavimai Paslaugoms</w:t>
      </w:r>
      <w:r w:rsidR="00D610EF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:</w:t>
      </w:r>
    </w:p>
    <w:p w14:paraId="3BCB1CB7" w14:textId="717B37B0" w:rsidR="00D610EF" w:rsidRPr="00D610EF" w:rsidRDefault="00A57550" w:rsidP="633E92B9">
      <w:pPr>
        <w:pStyle w:val="ListParagraph"/>
        <w:numPr>
          <w:ilvl w:val="2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Tiekėjas turi </w:t>
      </w:r>
      <w:r w:rsidR="00C2094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sukurti</w:t>
      </w:r>
      <w:r w:rsidR="00C20940"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proofErr w:type="spellStart"/>
      <w:r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įrankį</w:t>
      </w:r>
      <w:r w:rsidR="18A70126"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, </w:t>
      </w:r>
      <w:r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pritaikomą įmonės lygmeniu</w:t>
      </w:r>
      <w:r w:rsidR="141F405D"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="141F405D" w:rsidRPr="633E92B9">
        <w:rPr>
          <w:rFonts w:ascii="Arial" w:eastAsia="Times New Roman" w:hAnsi="Arial" w:cs="Arial"/>
          <w:color w:val="00435B"/>
          <w:sz w:val="20"/>
          <w:szCs w:val="20"/>
        </w:rPr>
        <w:t xml:space="preserve">skirtingiems sektoriams, kuris leistų įmonėms nusistatyti su EU TP suderintas </w:t>
      </w:r>
      <w:proofErr w:type="spellStart"/>
      <w:r w:rsidR="141F405D" w:rsidRPr="633E92B9">
        <w:rPr>
          <w:rFonts w:ascii="Arial" w:eastAsia="Times New Roman" w:hAnsi="Arial" w:cs="Arial"/>
          <w:color w:val="00435B"/>
          <w:sz w:val="20"/>
          <w:szCs w:val="20"/>
        </w:rPr>
        <w:t>dekarbonizacijos</w:t>
      </w:r>
      <w:proofErr w:type="spellEnd"/>
      <w:r w:rsidR="141F405D" w:rsidRPr="633E92B9">
        <w:rPr>
          <w:rFonts w:ascii="Arial" w:eastAsia="Times New Roman" w:hAnsi="Arial" w:cs="Arial"/>
          <w:color w:val="00435B"/>
          <w:sz w:val="20"/>
          <w:szCs w:val="20"/>
        </w:rPr>
        <w:t xml:space="preserve"> trajektorijas</w:t>
      </w:r>
      <w:r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, kuris pagal atitinkamus bazinius metus suskaičiuotų </w:t>
      </w:r>
      <w:proofErr w:type="spellStart"/>
      <w:r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trajektoriją 2030, 2035, 2040, 2045 ir 2050 metams</w:t>
      </w:r>
      <w:r w:rsidR="003B366A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, leistų palyginti </w:t>
      </w:r>
      <w:r w:rsidR="00F66015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įmonės prognozes su apskaičiuota trajektorija</w:t>
      </w:r>
      <w:r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.</w:t>
      </w:r>
    </w:p>
    <w:p w14:paraId="7165D06A" w14:textId="4C12A355" w:rsidR="00D610EF" w:rsidRPr="00D610EF" w:rsidRDefault="004419C0" w:rsidP="00D610EF">
      <w:pPr>
        <w:pStyle w:val="ListParagraph"/>
        <w:numPr>
          <w:ilvl w:val="2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proofErr w:type="spellStart"/>
      <w:r w:rsidRPr="004419C0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Dekarbonizacijos</w:t>
      </w:r>
      <w:proofErr w:type="spellEnd"/>
      <w:r w:rsidRPr="004419C0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 įrankis turi užtikrinti ne mažesnį funkcionalumą nei nurodyta toliau</w:t>
      </w:r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:</w:t>
      </w:r>
    </w:p>
    <w:p w14:paraId="425D7929" w14:textId="1FCC484E" w:rsidR="00D610EF" w:rsidRPr="00D610EF" w:rsidRDefault="00A57550" w:rsidP="00A57550">
      <w:pPr>
        <w:pStyle w:val="ListParagraph"/>
        <w:numPr>
          <w:ilvl w:val="3"/>
          <w:numId w:val="2"/>
        </w:numPr>
        <w:ind w:left="2127"/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galimybė įvesti </w:t>
      </w:r>
      <w:r w:rsidR="0054113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savo </w:t>
      </w:r>
      <w:r w:rsidR="00653DE7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paskaičiuotus </w:t>
      </w:r>
      <w:r w:rsidR="0054113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į</w:t>
      </w: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monės ŠESD emisijų kiekius baziniams metams;</w:t>
      </w:r>
    </w:p>
    <w:p w14:paraId="33FE55C3" w14:textId="65BFED07" w:rsidR="00D610EF" w:rsidRPr="00D610EF" w:rsidRDefault="00A57550" w:rsidP="00A57550">
      <w:pPr>
        <w:pStyle w:val="ListParagraph"/>
        <w:numPr>
          <w:ilvl w:val="3"/>
          <w:numId w:val="2"/>
        </w:numPr>
        <w:ind w:left="2127"/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galimybė pasirinkti skirtingus bazinius trajektorijos metus (2015, 2022, 2023, 2024, 2025 ir 2026 m.), </w:t>
      </w:r>
      <w:proofErr w:type="spellStart"/>
      <w:r w:rsidR="0E218B5E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="0E218B5E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įrankiui atitinkamai perskaičiuojant </w:t>
      </w:r>
      <w:proofErr w:type="spellStart"/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trajektorijas;</w:t>
      </w:r>
    </w:p>
    <w:p w14:paraId="18ED2B6A" w14:textId="7947F874" w:rsidR="00D610EF" w:rsidRPr="00D610EF" w:rsidRDefault="00B90E8A" w:rsidP="00D610EF">
      <w:pPr>
        <w:pStyle w:val="ListParagraph"/>
        <w:numPr>
          <w:ilvl w:val="3"/>
          <w:numId w:val="2"/>
        </w:numPr>
        <w:ind w:left="2127"/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galimybė pasirinkti </w:t>
      </w:r>
      <w:proofErr w:type="spellStart"/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trajektorij</w:t>
      </w:r>
      <w:r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ą </w:t>
      </w:r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pagal EVRK kodus. Trajektorijos ir EVRK kodai parenkami pagal EU TP gairių dokumente 1 priede išvardintus sektorius ir </w:t>
      </w:r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lastRenderedPageBreak/>
        <w:t>papildomai pagal 2 priede pateiktą lentelę</w:t>
      </w:r>
      <w:r w:rsidR="00A57550" w:rsidRPr="00A57550">
        <w:rPr>
          <w:vertAlign w:val="superscript"/>
          <w:lang w:val="lt"/>
        </w:rPr>
        <w:footnoteReference w:id="3"/>
      </w:r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bei atitinkamus EU TP sektoriaus informacinius lapus (</w:t>
      </w:r>
      <w:r w:rsidR="00A57550"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 xml:space="preserve">angl. </w:t>
      </w:r>
      <w:proofErr w:type="spellStart"/>
      <w:r w:rsidR="00A57550"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>Sectoral</w:t>
      </w:r>
      <w:proofErr w:type="spellEnd"/>
      <w:r w:rsidR="00A57550"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proofErr w:type="spellStart"/>
      <w:r w:rsidR="00A57550"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>fiche</w:t>
      </w:r>
      <w:proofErr w:type="spellEnd"/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)</w:t>
      </w:r>
      <w:r w:rsid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;</w:t>
      </w:r>
    </w:p>
    <w:p w14:paraId="0679B44B" w14:textId="77777777" w:rsidR="00D610EF" w:rsidRDefault="00A57550">
      <w:pPr>
        <w:pStyle w:val="ListParagraph"/>
        <w:numPr>
          <w:ilvl w:val="3"/>
          <w:numId w:val="2"/>
        </w:numPr>
        <w:ind w:left="2127"/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galimybė įvesti savo išmetamųjų ŠESD kiekių prognozes 2030, 2035, 2040, 2045 ir 2050 metams;</w:t>
      </w:r>
    </w:p>
    <w:p w14:paraId="4D414035" w14:textId="063AB988" w:rsidR="00D610EF" w:rsidRDefault="00204D00" w:rsidP="00A57550">
      <w:pPr>
        <w:pStyle w:val="ListParagraph"/>
        <w:numPr>
          <w:ilvl w:val="3"/>
          <w:numId w:val="2"/>
        </w:numPr>
        <w:ind w:left="2127"/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galimybė palyginti </w:t>
      </w:r>
      <w:r w:rsidR="00A57550"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įmonės prognoz</w:t>
      </w:r>
      <w:r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es</w:t>
      </w:r>
      <w:r w:rsidR="00A57550"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ir suskaičiuot</w:t>
      </w:r>
      <w:r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as</w:t>
      </w:r>
      <w:r w:rsidR="00A57550"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proofErr w:type="spellStart"/>
      <w:r w:rsidR="00A57550"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="00A57550"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trajektorij</w:t>
      </w:r>
      <w:r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a</w:t>
      </w:r>
      <w:r w:rsidR="00A57550" w:rsidRPr="00A5755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s;</w:t>
      </w:r>
    </w:p>
    <w:p w14:paraId="4D57AEAC" w14:textId="578CAD77" w:rsidR="00D610EF" w:rsidRDefault="00A57550" w:rsidP="00A57550">
      <w:pPr>
        <w:pStyle w:val="ListParagraph"/>
        <w:numPr>
          <w:ilvl w:val="3"/>
          <w:numId w:val="2"/>
        </w:numPr>
        <w:ind w:left="2127"/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galimybė įvesti savo sektorių rodiklius ir palygin</w:t>
      </w:r>
      <w:r w:rsidR="00DA45C7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ti</w:t>
      </w: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su nurodytais sektoriaus informaciniuose lapuose</w:t>
      </w:r>
      <w:r w:rsidR="00DA45C7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(</w:t>
      </w: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jei tokie yra nustatyti atitinkamo sektoriaus informaciniuose lapuose</w:t>
      </w:r>
      <w:r w:rsidR="00DA45C7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). P</w:t>
      </w: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avyzdžiui, pasirinkus EVRK kodą atitinkantį sektorių: </w:t>
      </w:r>
      <w:r w:rsidR="0078016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„</w:t>
      </w: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maistas, gėrimai ir tabakas</w:t>
      </w:r>
      <w:r w:rsidR="0078016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"</w:t>
      </w: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, turi atsirasti galimybė matyti išmetamųjų ŠESD kiekio intensyvumą, </w:t>
      </w:r>
      <w:r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 xml:space="preserve">angl.  </w:t>
      </w:r>
      <w:proofErr w:type="spellStart"/>
      <w:r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>Carbon</w:t>
      </w:r>
      <w:proofErr w:type="spellEnd"/>
      <w:r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proofErr w:type="spellStart"/>
      <w:r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>intensity</w:t>
      </w:r>
      <w:proofErr w:type="spellEnd"/>
      <w:r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proofErr w:type="spellStart"/>
      <w:r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>of</w:t>
      </w:r>
      <w:proofErr w:type="spellEnd"/>
      <w:r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proofErr w:type="spellStart"/>
      <w:r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>the</w:t>
      </w:r>
      <w:proofErr w:type="spellEnd"/>
      <w:r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proofErr w:type="spellStart"/>
      <w:r w:rsidRPr="00D610EF">
        <w:rPr>
          <w:rFonts w:ascii="Arial" w:eastAsia="Times New Roman" w:hAnsi="Arial" w:cs="Arial"/>
          <w:i/>
          <w:iCs/>
          <w:color w:val="00435B"/>
          <w:kern w:val="0"/>
          <w:sz w:val="20"/>
          <w:szCs w:val="20"/>
          <w:lang w:val="lt"/>
          <w14:ligatures w14:val="none"/>
        </w:rPr>
        <w:t>production</w:t>
      </w:r>
      <w:proofErr w:type="spellEnd"/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).</w:t>
      </w:r>
    </w:p>
    <w:p w14:paraId="25FB633F" w14:textId="6A191F7A" w:rsidR="00D610EF" w:rsidRDefault="33617D37" w:rsidP="00A57550">
      <w:pPr>
        <w:pStyle w:val="ListParagraph"/>
        <w:numPr>
          <w:ilvl w:val="2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proofErr w:type="spellStart"/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įrankio naudojimo p</w:t>
      </w:r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aaiškinamoji medžiaga turi apimti</w:t>
      </w:r>
      <w:r w:rsidR="51466305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:</w:t>
      </w:r>
    </w:p>
    <w:p w14:paraId="2F8CC52F" w14:textId="0EAF979E" w:rsidR="00D610EF" w:rsidRDefault="51466305" w:rsidP="00A57550">
      <w:pPr>
        <w:pStyle w:val="ListParagraph"/>
        <w:numPr>
          <w:ilvl w:val="3"/>
          <w:numId w:val="2"/>
        </w:numPr>
        <w:ind w:left="2127"/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b</w:t>
      </w:r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endruosius paaiškinimus </w:t>
      </w:r>
      <w:r w:rsidR="00C2094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dėl </w:t>
      </w:r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visų </w:t>
      </w:r>
      <w:r w:rsidR="0039683A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į</w:t>
      </w:r>
      <w:proofErr w:type="spellStart"/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monės</w:t>
      </w:r>
      <w:proofErr w:type="spellEnd"/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įvedamų duomenų;</w:t>
      </w:r>
    </w:p>
    <w:p w14:paraId="3AF8ED6D" w14:textId="15AA2300" w:rsidR="00D610EF" w:rsidRDefault="00A57550" w:rsidP="00A57550">
      <w:pPr>
        <w:pStyle w:val="ListParagraph"/>
        <w:numPr>
          <w:ilvl w:val="3"/>
          <w:numId w:val="2"/>
        </w:numPr>
        <w:ind w:left="2127"/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1 </w:t>
      </w: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ŠESD emisijų </w:t>
      </w: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lygio kiekio skaičiavimo paaiškinimą;</w:t>
      </w:r>
    </w:p>
    <w:p w14:paraId="199F017E" w14:textId="614B5F2A" w:rsidR="0088396E" w:rsidRDefault="484FB40F" w:rsidP="00A57550">
      <w:pPr>
        <w:pStyle w:val="ListParagraph"/>
        <w:numPr>
          <w:ilvl w:val="3"/>
          <w:numId w:val="2"/>
        </w:numPr>
        <w:ind w:left="2127"/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r</w:t>
      </w:r>
      <w:r w:rsidR="00A57550" w:rsidRPr="00D610E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ekomendacijas dėl viešai prieinamų skaičiuoklių 1 ŠESD emisijų lygio skaičiavimui.</w:t>
      </w:r>
    </w:p>
    <w:p w14:paraId="7BDF711A" w14:textId="58CB3CEC" w:rsidR="0088396E" w:rsidRDefault="00A57550" w:rsidP="00A57550">
      <w:pPr>
        <w:pStyle w:val="ListParagraph"/>
        <w:numPr>
          <w:ilvl w:val="1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proofErr w:type="spellStart"/>
      <w:r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="38AD676B"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įrankis </w:t>
      </w:r>
      <w:r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ir </w:t>
      </w:r>
      <w:proofErr w:type="spellStart"/>
      <w:r w:rsidR="2A5AEE85"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="2A5AEE85"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="56940772"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įrankio naudojimo p</w:t>
      </w:r>
      <w:r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aaiškinamoji medžiaga rengiami lietuvių kalba</w:t>
      </w:r>
      <w:r w:rsidR="00E941A5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.</w:t>
      </w:r>
    </w:p>
    <w:p w14:paraId="5B760DDF" w14:textId="69E48AF2" w:rsidR="00A57550" w:rsidRDefault="00A57550" w:rsidP="00A57550">
      <w:pPr>
        <w:pStyle w:val="ListParagraph"/>
        <w:numPr>
          <w:ilvl w:val="1"/>
          <w:numId w:val="2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Tiekėjas turi atlikti ir kitas veiklas, kurios nėra tiesiogiai nurodytos paslaugų apimtyse, bet kurios yra neatsiejamos nuo teikiamų </w:t>
      </w:r>
      <w:r w:rsidR="00E941A5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P</w:t>
      </w:r>
      <w:r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aslaugų ir kurios yra pagrįstai ir iš esmės reikalingos tinkamam </w:t>
      </w:r>
      <w:r w:rsidR="00E941A5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P</w:t>
      </w:r>
      <w:r w:rsidRPr="0088396E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aslaugų suteikimui</w:t>
      </w:r>
      <w:r w:rsid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.</w:t>
      </w:r>
    </w:p>
    <w:p w14:paraId="532D1041" w14:textId="6FEDA367" w:rsidR="0049730B" w:rsidRPr="0088396E" w:rsidRDefault="007561A2" w:rsidP="00E51CB7">
      <w:pPr>
        <w:pStyle w:val="ListParagraph"/>
        <w:ind w:left="0"/>
        <w:jc w:val="center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_____________</w:t>
      </w:r>
    </w:p>
    <w:p w14:paraId="5431CC5F" w14:textId="3558C2E6" w:rsidR="0049730B" w:rsidRPr="00E51CB7" w:rsidRDefault="007561A2" w:rsidP="00E51CB7">
      <w:pPr>
        <w:jc w:val="both"/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:lang w:val="lt"/>
          <w14:ligatures w14:val="none"/>
        </w:rPr>
      </w:pPr>
      <w:r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:lang w:val="lt"/>
          <w14:ligatures w14:val="none"/>
        </w:rPr>
        <w:t xml:space="preserve">Sutarties sąlygos - </w:t>
      </w:r>
      <w:r w:rsidR="0049730B" w:rsidRPr="00E51CB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:lang w:val="lt"/>
          <w14:ligatures w14:val="none"/>
        </w:rPr>
        <w:t xml:space="preserve">PASLAUGOS </w:t>
      </w:r>
      <w:r w:rsidR="00E941A5" w:rsidRPr="00E51CB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:lang w:val="lt"/>
          <w14:ligatures w14:val="none"/>
        </w:rPr>
        <w:t xml:space="preserve">TEIKIMO </w:t>
      </w:r>
      <w:r w:rsidR="0049730B" w:rsidRPr="00E51CB7">
        <w:rPr>
          <w:rFonts w:ascii="Arial" w:eastAsia="Times New Roman" w:hAnsi="Arial" w:cs="Arial"/>
          <w:b/>
          <w:bCs/>
          <w:color w:val="00435B"/>
          <w:kern w:val="0"/>
          <w:sz w:val="20"/>
          <w:szCs w:val="20"/>
          <w:lang w:val="lt"/>
          <w14:ligatures w14:val="none"/>
        </w:rPr>
        <w:t>TERMINAI</w:t>
      </w:r>
    </w:p>
    <w:p w14:paraId="157A2F35" w14:textId="77777777" w:rsidR="0049730B" w:rsidRPr="0049730B" w:rsidRDefault="0049730B" w:rsidP="0049730B">
      <w:pPr>
        <w:pStyle w:val="ListParagraph"/>
        <w:ind w:left="360"/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</w:p>
    <w:p w14:paraId="73B3BECF" w14:textId="0D5CAEA0" w:rsidR="00120E04" w:rsidRDefault="00120E04" w:rsidP="00E51CB7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120E04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Tiekėjas pateikia siūlomą</w:t>
      </w:r>
      <w:r w:rsidR="00C2094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proofErr w:type="spellStart"/>
      <w:r w:rsidR="00C2094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="00C2094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įrankio</w:t>
      </w:r>
      <w:r w:rsidRPr="00120E04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Pr="003E302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tech</w:t>
      </w:r>
      <w:r w:rsidR="003E3020" w:rsidRPr="003E302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ninio</w:t>
      </w:r>
      <w:r w:rsidRPr="003E302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sprendimo koncepciją</w:t>
      </w:r>
      <w:r w:rsidR="00B2584C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="007A7B92" w:rsidRPr="00120E04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per </w:t>
      </w:r>
      <w:r w:rsidR="007A7B9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10</w:t>
      </w:r>
      <w:r w:rsidR="007A7B92" w:rsidRPr="00120E04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darbo dienų nuo </w:t>
      </w:r>
      <w:r w:rsidR="007A7B9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sutarties įsigaliojimo dienos</w:t>
      </w:r>
      <w:r w:rsidRPr="00120E04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.</w:t>
      </w:r>
    </w:p>
    <w:p w14:paraId="39D4FC71" w14:textId="19A1AA96" w:rsidR="007561A2" w:rsidRDefault="0049730B" w:rsidP="007561A2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Tiekėjas </w:t>
      </w:r>
      <w:r w:rsidR="00C2094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sukuria</w:t>
      </w:r>
      <w:r w:rsidR="00C20940"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proofErr w:type="spellStart"/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įrank</w:t>
      </w:r>
      <w:r w:rsidR="00C2094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į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ir </w:t>
      </w:r>
      <w:r w:rsidR="00C2094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parengia 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paaiškinamosios medžiagos projekt</w:t>
      </w:r>
      <w:r w:rsidR="00C2094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ą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per 40 darbo dienų nuo sutarties įsigaliojimo dienos</w:t>
      </w:r>
      <w:r w:rsidR="007561A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.</w:t>
      </w:r>
    </w:p>
    <w:p w14:paraId="258B2822" w14:textId="4033289E" w:rsidR="0049730B" w:rsidRDefault="0049730B" w:rsidP="007561A2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Pirkėjas,</w:t>
      </w:r>
      <w:r w:rsidR="008D350C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siekdamas įvertinti </w:t>
      </w:r>
      <w:proofErr w:type="spellStart"/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įrankio veikimą ir paaiškinamosios medžiagos tikslumą, pasitelk</w:t>
      </w:r>
      <w:r w:rsidR="00E70D06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damas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verslo atstovus per 20 darbo dienų nuo</w:t>
      </w:r>
      <w:r w:rsidR="0017032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2 punkte nurodyt</w:t>
      </w:r>
      <w:r w:rsidR="00170322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ų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="007561A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paslaugų suteikimo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dienos</w:t>
      </w:r>
      <w:r w:rsidR="00E70D06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,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pateik</w:t>
      </w:r>
      <w:r w:rsidR="00E70D06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ia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Tiekėjui pastabas.</w:t>
      </w:r>
      <w:r w:rsidR="714FF9C0"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Tiekėjas </w:t>
      </w:r>
      <w:r w:rsidR="007561A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pa</w:t>
      </w:r>
      <w:r w:rsidR="714FF9C0"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taiso </w:t>
      </w:r>
      <w:proofErr w:type="spellStart"/>
      <w:r w:rsidR="714FF9C0"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="714FF9C0"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įrankį </w:t>
      </w:r>
      <w:r w:rsidR="004D0D7A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ir </w:t>
      </w:r>
      <w:r w:rsidR="004D1A3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galutinę </w:t>
      </w:r>
      <w:proofErr w:type="spellStart"/>
      <w:r w:rsidR="007561A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="007561A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="004D1A30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įrankio versiją </w:t>
      </w:r>
      <w:r w:rsidR="004D0D7A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 xml:space="preserve">pateikia </w:t>
      </w:r>
      <w:r w:rsidR="714FF9C0"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per 10 da</w:t>
      </w:r>
      <w:r w:rsidR="004D0D7A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r</w:t>
      </w:r>
      <w:r w:rsidR="714FF9C0"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bo dienų</w:t>
      </w:r>
      <w:r w:rsidR="007561A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nuo Pirkėjo pastabų pateikimo.</w:t>
      </w:r>
      <w:r w:rsidR="009536E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</w:p>
    <w:p w14:paraId="15D64879" w14:textId="71C77F77" w:rsidR="004E3718" w:rsidRPr="0049730B" w:rsidRDefault="004E3718" w:rsidP="004E371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Esant pagrįstoms aplinkybėms kiekvienas iš 2 ir/ar 3 punktuose nurodytų terminų suderinus su Pirkėju gali būti pratęstas iki </w:t>
      </w:r>
      <w:r w:rsidRPr="0047625F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1</w:t>
      </w:r>
      <w:r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0 darbo </w:t>
      </w:r>
      <w:proofErr w:type="spellStart"/>
      <w:r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dien</w:t>
      </w:r>
      <w:proofErr w:type="spellEnd"/>
      <w:r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ų.</w:t>
      </w:r>
    </w:p>
    <w:p w14:paraId="217730DC" w14:textId="7BB50186" w:rsidR="00AD3E9B" w:rsidRDefault="0049730B" w:rsidP="00E51CB7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Tiekėjas įsipareigoja </w:t>
      </w:r>
      <w:r w:rsidR="004E3718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suteikti 3 mėnesių </w:t>
      </w:r>
      <w:r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garantin</w:t>
      </w:r>
      <w:r w:rsidR="004E3718"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į</w:t>
      </w:r>
      <w:r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laikotar</w:t>
      </w:r>
      <w:r w:rsidR="00B34872"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p</w:t>
      </w:r>
      <w:r w:rsidR="004E3718"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į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nuo paslaugų priėmimo–perdavimo akto pasirašymo dienos</w:t>
      </w:r>
      <w:r w:rsidR="004E3718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. Garantiniu laikotarpiu Tiekėjas neatlygintinai</w:t>
      </w:r>
      <w:r w:rsidR="2086EB5A"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per 5 darbo dienas nuo detalios informacijos pateikimo Tiekėjui elektroniniu paštu</w:t>
      </w:r>
      <w:r w:rsidR="005675FC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,</w:t>
      </w:r>
      <w:r w:rsidR="63162653"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Pr="0049730B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pašalinti visus įrankio veikimo trūkumus, skaičiavimo logikos, formulių, automatinių perskaičiavimų, duomenų įvedimo ar atvaizdavimo klaidas, </w:t>
      </w:r>
      <w:r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neatitikimus Techninei specifikacijai, taip pat </w:t>
      </w:r>
      <w:proofErr w:type="spellStart"/>
      <w:r w:rsidR="570D485B"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Dekarbonizacijos</w:t>
      </w:r>
      <w:proofErr w:type="spellEnd"/>
      <w:r w:rsidR="570D485B"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įrankio </w:t>
      </w:r>
      <w:r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paaiškinamosios medžiagos netikslumus, kurie paaiškėja naudojant įrankį pagal paskirtį. Garantinis taisymas neapima naujų funkcionalumų</w:t>
      </w:r>
      <w:r w:rsidR="007A0898"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</w:t>
      </w:r>
      <w:r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kūrimo</w:t>
      </w:r>
      <w:r w:rsidR="005675FC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.</w:t>
      </w:r>
    </w:p>
    <w:p w14:paraId="347F6D0A" w14:textId="1F089ABA" w:rsidR="0013520E" w:rsidRPr="00B34872" w:rsidRDefault="0013520E" w:rsidP="00E51CB7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</w:pPr>
      <w:r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Būtinais pakeitimais, reikalingais sutarto funkcionalumo veikimui užtikrinti</w:t>
      </w:r>
      <w:r w:rsidR="00BA2CF1"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, būtų</w:t>
      </w:r>
      <w:r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laikomi pakeitimai, kurie nekeičia sutartos funkcijų apimties, tačiau yra reikalingi tam, kad sutartas funkcionalumas veiktų stabiliai ir teisingai (pvz., naudotojo įvedimo validacija, klaidų pranešimų patikslinimas, suderinamumo su naudojamomis programomis/naršyklėmis užtikrinimas</w:t>
      </w:r>
      <w:r w:rsidR="005675FC"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 xml:space="preserve"> ir pan.</w:t>
      </w:r>
      <w:r w:rsidRPr="00B34872">
        <w:rPr>
          <w:rFonts w:ascii="Arial" w:eastAsia="Times New Roman" w:hAnsi="Arial" w:cs="Arial"/>
          <w:color w:val="00435B"/>
          <w:kern w:val="0"/>
          <w:sz w:val="20"/>
          <w:szCs w:val="20"/>
          <w:lang w:val="lt"/>
          <w14:ligatures w14:val="none"/>
        </w:rPr>
        <w:t>).</w:t>
      </w:r>
    </w:p>
    <w:p w14:paraId="749A231D" w14:textId="59DCE250" w:rsidR="00AD3E9B" w:rsidRPr="00D72019" w:rsidRDefault="00AD3E9B" w:rsidP="00AD3E9B">
      <w:pPr>
        <w:pStyle w:val="paragraph"/>
        <w:spacing w:before="0" w:beforeAutospacing="0" w:after="0" w:afterAutospacing="0"/>
        <w:ind w:left="562" w:hanging="562"/>
        <w:jc w:val="center"/>
        <w:rPr>
          <w:rFonts w:ascii="Arial" w:hAnsi="Arial" w:cs="Arial"/>
          <w:color w:val="00435B"/>
          <w:sz w:val="20"/>
          <w:szCs w:val="20"/>
        </w:rPr>
      </w:pPr>
      <w:r w:rsidRPr="00D72019">
        <w:rPr>
          <w:rFonts w:ascii="Arial" w:hAnsi="Arial" w:cs="Arial"/>
          <w:color w:val="00435B"/>
          <w:sz w:val="20"/>
          <w:szCs w:val="20"/>
        </w:rPr>
        <w:t>________________</w:t>
      </w:r>
    </w:p>
    <w:p w14:paraId="5841FC68" w14:textId="77777777" w:rsidR="00AD3E9B" w:rsidRPr="00D72019" w:rsidRDefault="00AD3E9B" w:rsidP="00AD3E9B"/>
    <w:p w14:paraId="6275A035" w14:textId="77777777" w:rsidR="00687B60" w:rsidRPr="00D72019" w:rsidRDefault="00687B60" w:rsidP="00AD3E9B"/>
    <w:sectPr w:rsidR="00687B60" w:rsidRPr="00D72019" w:rsidSect="002339EC">
      <w:headerReference w:type="default" r:id="rId14"/>
      <w:pgSz w:w="12240" w:h="15840"/>
      <w:pgMar w:top="170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9F64" w14:textId="77777777" w:rsidR="007339DB" w:rsidRDefault="007339DB">
      <w:pPr>
        <w:spacing w:after="0" w:line="240" w:lineRule="auto"/>
      </w:pPr>
      <w:r>
        <w:separator/>
      </w:r>
    </w:p>
  </w:endnote>
  <w:endnote w:type="continuationSeparator" w:id="0">
    <w:p w14:paraId="001FECE0" w14:textId="77777777" w:rsidR="007339DB" w:rsidRDefault="007339DB">
      <w:pPr>
        <w:spacing w:after="0" w:line="240" w:lineRule="auto"/>
      </w:pPr>
      <w:r>
        <w:continuationSeparator/>
      </w:r>
    </w:p>
  </w:endnote>
  <w:endnote w:type="continuationNotice" w:id="1">
    <w:p w14:paraId="18C4ECD6" w14:textId="77777777" w:rsidR="007339DB" w:rsidRDefault="00733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at Medium">
    <w:altName w:val="Calibri"/>
    <w:panose1 w:val="00000000000000000000"/>
    <w:charset w:val="00"/>
    <w:family w:val="modern"/>
    <w:notTrueType/>
    <w:pitch w:val="variable"/>
    <w:sig w:usb0="A100007F" w:usb1="4200E4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F1AB" w14:textId="77777777" w:rsidR="007339DB" w:rsidRDefault="007339DB">
      <w:pPr>
        <w:spacing w:after="0" w:line="240" w:lineRule="auto"/>
      </w:pPr>
      <w:r>
        <w:separator/>
      </w:r>
    </w:p>
  </w:footnote>
  <w:footnote w:type="continuationSeparator" w:id="0">
    <w:p w14:paraId="4D095B8B" w14:textId="77777777" w:rsidR="007339DB" w:rsidRDefault="007339DB">
      <w:pPr>
        <w:spacing w:after="0" w:line="240" w:lineRule="auto"/>
      </w:pPr>
      <w:r>
        <w:continuationSeparator/>
      </w:r>
    </w:p>
  </w:footnote>
  <w:footnote w:type="continuationNotice" w:id="1">
    <w:p w14:paraId="40A5B2EC" w14:textId="77777777" w:rsidR="007339DB" w:rsidRDefault="007339DB">
      <w:pPr>
        <w:spacing w:after="0" w:line="240" w:lineRule="auto"/>
      </w:pPr>
    </w:p>
  </w:footnote>
  <w:footnote w:id="2">
    <w:p w14:paraId="0C2A95EF" w14:textId="77777777" w:rsidR="00D922BC" w:rsidRPr="004479A6" w:rsidRDefault="00D922BC" w:rsidP="00D922BC">
      <w:pPr>
        <w:pBdr>
          <w:top w:val="nil"/>
          <w:left w:val="nil"/>
          <w:bottom w:val="nil"/>
          <w:right w:val="nil"/>
          <w:between w:val="nil"/>
        </w:pBdr>
        <w:rPr>
          <w:rFonts w:ascii="Moderat Medium" w:hAnsi="Moderat Medium"/>
          <w:color w:val="000000"/>
          <w:sz w:val="18"/>
          <w:szCs w:val="18"/>
        </w:rPr>
      </w:pPr>
      <w:r w:rsidRPr="004479A6">
        <w:rPr>
          <w:rStyle w:val="FootnoteReference"/>
          <w:rFonts w:ascii="Moderat Medium" w:hAnsi="Moderat Medium"/>
          <w:sz w:val="18"/>
          <w:szCs w:val="18"/>
        </w:rPr>
        <w:footnoteRef/>
      </w:r>
      <w:r w:rsidRPr="004479A6">
        <w:rPr>
          <w:rFonts w:ascii="Moderat Medium" w:hAnsi="Moderat Medium"/>
          <w:color w:val="000000"/>
          <w:sz w:val="18"/>
          <w:szCs w:val="18"/>
        </w:rPr>
        <w:t xml:space="preserve"> </w:t>
      </w:r>
      <w:hyperlink r:id="rId1" w:anchor="european-climate-law-aligned-eu-sectoral-decarbonisation-pathways" w:history="1">
        <w:r w:rsidRPr="004479A6">
          <w:rPr>
            <w:rStyle w:val="Hyperlink"/>
            <w:rFonts w:ascii="Moderat Medium" w:hAnsi="Moderat Medium"/>
            <w:sz w:val="18"/>
            <w:szCs w:val="18"/>
          </w:rPr>
          <w:t>Europos Komisija – Finansų srautų suderinimas su klimato tikslais</w:t>
        </w:r>
      </w:hyperlink>
    </w:p>
  </w:footnote>
  <w:footnote w:id="3">
    <w:p w14:paraId="5AFEFD06" w14:textId="77777777" w:rsidR="00A57550" w:rsidRDefault="00A57550" w:rsidP="00A575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2" w:history="1">
        <w:r>
          <w:rPr>
            <w:rStyle w:val="Hyperlink"/>
            <w:rFonts w:ascii="Moderat Medium" w:hAnsi="Moderat Medium"/>
            <w:sz w:val="18"/>
            <w:szCs w:val="18"/>
          </w:rPr>
          <w:t>Su Europos klimato teisė suderinti perėjimo planai: Rekomendacijų dokumentas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CD99" w14:textId="77777777" w:rsidR="00807412" w:rsidRPr="001678E7" w:rsidRDefault="00807412">
    <w:pPr>
      <w:tabs>
        <w:tab w:val="left" w:pos="5954"/>
      </w:tabs>
      <w:spacing w:after="0" w:line="240" w:lineRule="auto"/>
      <w:jc w:val="right"/>
      <w:rPr>
        <w:rFonts w:ascii="Arial" w:hAnsi="Arial" w:cs="Arial"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9BD"/>
    <w:multiLevelType w:val="multilevel"/>
    <w:tmpl w:val="1DC0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7AD"/>
    <w:multiLevelType w:val="hybridMultilevel"/>
    <w:tmpl w:val="6B4E2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04D"/>
    <w:multiLevelType w:val="hybridMultilevel"/>
    <w:tmpl w:val="8BA0FB0C"/>
    <w:lvl w:ilvl="0" w:tplc="6FC41D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042D"/>
    <w:multiLevelType w:val="multilevel"/>
    <w:tmpl w:val="A3F0B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537446"/>
    <w:multiLevelType w:val="hybridMultilevel"/>
    <w:tmpl w:val="C7047FF4"/>
    <w:lvl w:ilvl="0" w:tplc="20388A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44BC"/>
    <w:multiLevelType w:val="hybridMultilevel"/>
    <w:tmpl w:val="C7406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74EE5"/>
    <w:multiLevelType w:val="hybridMultilevel"/>
    <w:tmpl w:val="FF445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00770"/>
    <w:multiLevelType w:val="multilevel"/>
    <w:tmpl w:val="25E2C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494E3D"/>
    <w:multiLevelType w:val="hybridMultilevel"/>
    <w:tmpl w:val="BD7008E2"/>
    <w:lvl w:ilvl="0" w:tplc="66C065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791E"/>
    <w:multiLevelType w:val="hybridMultilevel"/>
    <w:tmpl w:val="AFCC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71D45"/>
    <w:multiLevelType w:val="hybridMultilevel"/>
    <w:tmpl w:val="516AA3FC"/>
    <w:lvl w:ilvl="0" w:tplc="A22A91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B2761"/>
    <w:multiLevelType w:val="multilevel"/>
    <w:tmpl w:val="B8C84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204CD3"/>
    <w:multiLevelType w:val="multilevel"/>
    <w:tmpl w:val="BE462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153D63" w:themeColor="text2" w:themeTint="E6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  <w:b w:val="0"/>
        <w:bCs w:val="0"/>
        <w:color w:val="153D63" w:themeColor="text2" w:themeTint="E6"/>
      </w:rPr>
    </w:lvl>
    <w:lvl w:ilvl="3">
      <w:start w:val="1"/>
      <w:numFmt w:val="decimal"/>
      <w:isLgl/>
      <w:lvlText w:val="%1.%2.%3.%4."/>
      <w:lvlJc w:val="left"/>
      <w:pPr>
        <w:ind w:left="4613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D3E12D8"/>
    <w:multiLevelType w:val="hybridMultilevel"/>
    <w:tmpl w:val="2B16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49446">
    <w:abstractNumId w:val="0"/>
  </w:num>
  <w:num w:numId="2" w16cid:durableId="1967740160">
    <w:abstractNumId w:val="12"/>
  </w:num>
  <w:num w:numId="3" w16cid:durableId="836460365">
    <w:abstractNumId w:val="7"/>
  </w:num>
  <w:num w:numId="4" w16cid:durableId="1018890751">
    <w:abstractNumId w:val="3"/>
  </w:num>
  <w:num w:numId="5" w16cid:durableId="626938455">
    <w:abstractNumId w:val="4"/>
  </w:num>
  <w:num w:numId="6" w16cid:durableId="1830051448">
    <w:abstractNumId w:val="11"/>
  </w:num>
  <w:num w:numId="7" w16cid:durableId="2021927279">
    <w:abstractNumId w:val="10"/>
  </w:num>
  <w:num w:numId="8" w16cid:durableId="445580105">
    <w:abstractNumId w:val="2"/>
  </w:num>
  <w:num w:numId="9" w16cid:durableId="688484627">
    <w:abstractNumId w:val="8"/>
  </w:num>
  <w:num w:numId="10" w16cid:durableId="1887451136">
    <w:abstractNumId w:val="1"/>
  </w:num>
  <w:num w:numId="11" w16cid:durableId="1791704154">
    <w:abstractNumId w:val="13"/>
  </w:num>
  <w:num w:numId="12" w16cid:durableId="163478462">
    <w:abstractNumId w:val="9"/>
  </w:num>
  <w:num w:numId="13" w16cid:durableId="1011221962">
    <w:abstractNumId w:val="6"/>
  </w:num>
  <w:num w:numId="14" w16cid:durableId="655836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04"/>
    <w:rsid w:val="00000A59"/>
    <w:rsid w:val="00000F92"/>
    <w:rsid w:val="000054C5"/>
    <w:rsid w:val="00006C10"/>
    <w:rsid w:val="00007B0E"/>
    <w:rsid w:val="0001051D"/>
    <w:rsid w:val="000214E2"/>
    <w:rsid w:val="00021A84"/>
    <w:rsid w:val="00021AB6"/>
    <w:rsid w:val="00021BC0"/>
    <w:rsid w:val="00021F33"/>
    <w:rsid w:val="00024E81"/>
    <w:rsid w:val="00026D97"/>
    <w:rsid w:val="0002746F"/>
    <w:rsid w:val="000346C3"/>
    <w:rsid w:val="00042142"/>
    <w:rsid w:val="00042560"/>
    <w:rsid w:val="00043943"/>
    <w:rsid w:val="00053A8C"/>
    <w:rsid w:val="0005435F"/>
    <w:rsid w:val="00060DE3"/>
    <w:rsid w:val="00060E2B"/>
    <w:rsid w:val="000647A3"/>
    <w:rsid w:val="00065191"/>
    <w:rsid w:val="00067B30"/>
    <w:rsid w:val="00067CF6"/>
    <w:rsid w:val="00070604"/>
    <w:rsid w:val="000733E3"/>
    <w:rsid w:val="000763DB"/>
    <w:rsid w:val="000774EC"/>
    <w:rsid w:val="0008271F"/>
    <w:rsid w:val="00083AB1"/>
    <w:rsid w:val="00085F08"/>
    <w:rsid w:val="000860AD"/>
    <w:rsid w:val="00086ACE"/>
    <w:rsid w:val="000914F7"/>
    <w:rsid w:val="00096097"/>
    <w:rsid w:val="0009669B"/>
    <w:rsid w:val="00096E43"/>
    <w:rsid w:val="000977BB"/>
    <w:rsid w:val="000A040B"/>
    <w:rsid w:val="000A14F3"/>
    <w:rsid w:val="000A280A"/>
    <w:rsid w:val="000A2D7B"/>
    <w:rsid w:val="000A64EC"/>
    <w:rsid w:val="000A760D"/>
    <w:rsid w:val="000B04E1"/>
    <w:rsid w:val="000B11AA"/>
    <w:rsid w:val="000B3B6C"/>
    <w:rsid w:val="000C02DF"/>
    <w:rsid w:val="000C0B4F"/>
    <w:rsid w:val="000C1581"/>
    <w:rsid w:val="000C3622"/>
    <w:rsid w:val="000C3CFB"/>
    <w:rsid w:val="000C541E"/>
    <w:rsid w:val="000C7CAB"/>
    <w:rsid w:val="000D10D6"/>
    <w:rsid w:val="000D1AC1"/>
    <w:rsid w:val="000D5573"/>
    <w:rsid w:val="000D55B2"/>
    <w:rsid w:val="000E13BD"/>
    <w:rsid w:val="000E144E"/>
    <w:rsid w:val="000E17E9"/>
    <w:rsid w:val="000E1C81"/>
    <w:rsid w:val="000E4828"/>
    <w:rsid w:val="000E5049"/>
    <w:rsid w:val="000E7BBE"/>
    <w:rsid w:val="000F0DC2"/>
    <w:rsid w:val="000F581C"/>
    <w:rsid w:val="000F6615"/>
    <w:rsid w:val="00100227"/>
    <w:rsid w:val="00100762"/>
    <w:rsid w:val="001052CA"/>
    <w:rsid w:val="00112383"/>
    <w:rsid w:val="001139FF"/>
    <w:rsid w:val="0011709A"/>
    <w:rsid w:val="00120E04"/>
    <w:rsid w:val="00121A86"/>
    <w:rsid w:val="00125B64"/>
    <w:rsid w:val="00130B93"/>
    <w:rsid w:val="00131EEE"/>
    <w:rsid w:val="00133326"/>
    <w:rsid w:val="001340CB"/>
    <w:rsid w:val="00134484"/>
    <w:rsid w:val="001348DB"/>
    <w:rsid w:val="0013520E"/>
    <w:rsid w:val="00136137"/>
    <w:rsid w:val="00137C24"/>
    <w:rsid w:val="00141387"/>
    <w:rsid w:val="001416DF"/>
    <w:rsid w:val="00141B09"/>
    <w:rsid w:val="001524E2"/>
    <w:rsid w:val="001532F7"/>
    <w:rsid w:val="00156983"/>
    <w:rsid w:val="00157F1E"/>
    <w:rsid w:val="00160229"/>
    <w:rsid w:val="00166521"/>
    <w:rsid w:val="0016759D"/>
    <w:rsid w:val="00170322"/>
    <w:rsid w:val="00170884"/>
    <w:rsid w:val="00171287"/>
    <w:rsid w:val="00172838"/>
    <w:rsid w:val="00173781"/>
    <w:rsid w:val="001741DE"/>
    <w:rsid w:val="00174615"/>
    <w:rsid w:val="00174B88"/>
    <w:rsid w:val="001772D4"/>
    <w:rsid w:val="00180A94"/>
    <w:rsid w:val="00181202"/>
    <w:rsid w:val="00181415"/>
    <w:rsid w:val="00181E93"/>
    <w:rsid w:val="001832DE"/>
    <w:rsid w:val="00183785"/>
    <w:rsid w:val="00185C72"/>
    <w:rsid w:val="001869BE"/>
    <w:rsid w:val="00186AC6"/>
    <w:rsid w:val="00187211"/>
    <w:rsid w:val="0018776E"/>
    <w:rsid w:val="001918F1"/>
    <w:rsid w:val="001957A1"/>
    <w:rsid w:val="001A09D4"/>
    <w:rsid w:val="001A0E32"/>
    <w:rsid w:val="001A301D"/>
    <w:rsid w:val="001A5E7F"/>
    <w:rsid w:val="001A71AB"/>
    <w:rsid w:val="001A7E79"/>
    <w:rsid w:val="001B0B8B"/>
    <w:rsid w:val="001B2464"/>
    <w:rsid w:val="001B5560"/>
    <w:rsid w:val="001B5627"/>
    <w:rsid w:val="001B6583"/>
    <w:rsid w:val="001B6DFE"/>
    <w:rsid w:val="001B744E"/>
    <w:rsid w:val="001C2947"/>
    <w:rsid w:val="001C69C2"/>
    <w:rsid w:val="001D3B49"/>
    <w:rsid w:val="001D4A5B"/>
    <w:rsid w:val="001D546D"/>
    <w:rsid w:val="001D64F2"/>
    <w:rsid w:val="001E07EF"/>
    <w:rsid w:val="001E1224"/>
    <w:rsid w:val="001E2913"/>
    <w:rsid w:val="001F09B0"/>
    <w:rsid w:val="001F0C2A"/>
    <w:rsid w:val="001F1FE7"/>
    <w:rsid w:val="001F6303"/>
    <w:rsid w:val="001F7D5D"/>
    <w:rsid w:val="00202E9F"/>
    <w:rsid w:val="00203DBC"/>
    <w:rsid w:val="00204044"/>
    <w:rsid w:val="00204D00"/>
    <w:rsid w:val="0021075B"/>
    <w:rsid w:val="00211CF0"/>
    <w:rsid w:val="00216482"/>
    <w:rsid w:val="0021729C"/>
    <w:rsid w:val="00224B0F"/>
    <w:rsid w:val="0022589D"/>
    <w:rsid w:val="002269CB"/>
    <w:rsid w:val="00231DBB"/>
    <w:rsid w:val="00232A98"/>
    <w:rsid w:val="00233933"/>
    <w:rsid w:val="002339EC"/>
    <w:rsid w:val="002351E7"/>
    <w:rsid w:val="00241521"/>
    <w:rsid w:val="0024400D"/>
    <w:rsid w:val="00255BE6"/>
    <w:rsid w:val="00256280"/>
    <w:rsid w:val="00256E93"/>
    <w:rsid w:val="00262597"/>
    <w:rsid w:val="00265C78"/>
    <w:rsid w:val="00274398"/>
    <w:rsid w:val="002808C3"/>
    <w:rsid w:val="00280F05"/>
    <w:rsid w:val="002835EB"/>
    <w:rsid w:val="002844BB"/>
    <w:rsid w:val="0028715F"/>
    <w:rsid w:val="00290889"/>
    <w:rsid w:val="00293A21"/>
    <w:rsid w:val="002945C6"/>
    <w:rsid w:val="00295B96"/>
    <w:rsid w:val="00296A30"/>
    <w:rsid w:val="002A0B1B"/>
    <w:rsid w:val="002A55D9"/>
    <w:rsid w:val="002A65BA"/>
    <w:rsid w:val="002A7669"/>
    <w:rsid w:val="002B21D4"/>
    <w:rsid w:val="002B21FB"/>
    <w:rsid w:val="002C3D57"/>
    <w:rsid w:val="002C4608"/>
    <w:rsid w:val="002C58FF"/>
    <w:rsid w:val="002C591A"/>
    <w:rsid w:val="002C5A6F"/>
    <w:rsid w:val="002C68FF"/>
    <w:rsid w:val="002D02F9"/>
    <w:rsid w:val="002D2EA6"/>
    <w:rsid w:val="002D7291"/>
    <w:rsid w:val="002E1120"/>
    <w:rsid w:val="002E11CD"/>
    <w:rsid w:val="002E3FEB"/>
    <w:rsid w:val="002E6C10"/>
    <w:rsid w:val="002E6F94"/>
    <w:rsid w:val="002F6C25"/>
    <w:rsid w:val="00300F9F"/>
    <w:rsid w:val="00303B93"/>
    <w:rsid w:val="00305BBB"/>
    <w:rsid w:val="00307740"/>
    <w:rsid w:val="00310F65"/>
    <w:rsid w:val="0031159A"/>
    <w:rsid w:val="0031584D"/>
    <w:rsid w:val="00317028"/>
    <w:rsid w:val="00322B15"/>
    <w:rsid w:val="003238EE"/>
    <w:rsid w:val="00323C9E"/>
    <w:rsid w:val="00324E31"/>
    <w:rsid w:val="00325747"/>
    <w:rsid w:val="00327E36"/>
    <w:rsid w:val="003348D9"/>
    <w:rsid w:val="00337044"/>
    <w:rsid w:val="0034565B"/>
    <w:rsid w:val="003459AF"/>
    <w:rsid w:val="003465BC"/>
    <w:rsid w:val="00352224"/>
    <w:rsid w:val="0035264B"/>
    <w:rsid w:val="00354C13"/>
    <w:rsid w:val="003564F5"/>
    <w:rsid w:val="00357F78"/>
    <w:rsid w:val="0036068E"/>
    <w:rsid w:val="00361BE0"/>
    <w:rsid w:val="00361FC5"/>
    <w:rsid w:val="00362383"/>
    <w:rsid w:val="003629D7"/>
    <w:rsid w:val="003676D7"/>
    <w:rsid w:val="003706B1"/>
    <w:rsid w:val="0037077E"/>
    <w:rsid w:val="0037490A"/>
    <w:rsid w:val="0037794B"/>
    <w:rsid w:val="003811F4"/>
    <w:rsid w:val="00381D3C"/>
    <w:rsid w:val="00385DE4"/>
    <w:rsid w:val="00391B0C"/>
    <w:rsid w:val="00393A83"/>
    <w:rsid w:val="00393DAB"/>
    <w:rsid w:val="0039473F"/>
    <w:rsid w:val="003963CF"/>
    <w:rsid w:val="0039683A"/>
    <w:rsid w:val="003A33F7"/>
    <w:rsid w:val="003A7146"/>
    <w:rsid w:val="003B0C82"/>
    <w:rsid w:val="003B366A"/>
    <w:rsid w:val="003B3D42"/>
    <w:rsid w:val="003B3E56"/>
    <w:rsid w:val="003B6DDA"/>
    <w:rsid w:val="003C1495"/>
    <w:rsid w:val="003C280A"/>
    <w:rsid w:val="003C3CC8"/>
    <w:rsid w:val="003C7044"/>
    <w:rsid w:val="003D21B3"/>
    <w:rsid w:val="003D2E84"/>
    <w:rsid w:val="003D3DB4"/>
    <w:rsid w:val="003D5A7F"/>
    <w:rsid w:val="003D6732"/>
    <w:rsid w:val="003E0353"/>
    <w:rsid w:val="003E264A"/>
    <w:rsid w:val="003E3020"/>
    <w:rsid w:val="003F2554"/>
    <w:rsid w:val="003F3D53"/>
    <w:rsid w:val="003F5252"/>
    <w:rsid w:val="003F6FF6"/>
    <w:rsid w:val="00400604"/>
    <w:rsid w:val="0040259B"/>
    <w:rsid w:val="0040376B"/>
    <w:rsid w:val="00405CAB"/>
    <w:rsid w:val="004071D3"/>
    <w:rsid w:val="00410863"/>
    <w:rsid w:val="00410BE7"/>
    <w:rsid w:val="00414B06"/>
    <w:rsid w:val="00414EAC"/>
    <w:rsid w:val="004153C0"/>
    <w:rsid w:val="00415C9F"/>
    <w:rsid w:val="0041735A"/>
    <w:rsid w:val="00420426"/>
    <w:rsid w:val="00420EE4"/>
    <w:rsid w:val="004217FE"/>
    <w:rsid w:val="00421DF3"/>
    <w:rsid w:val="00423FA5"/>
    <w:rsid w:val="00424A79"/>
    <w:rsid w:val="00424B64"/>
    <w:rsid w:val="00427750"/>
    <w:rsid w:val="00430C59"/>
    <w:rsid w:val="00432E09"/>
    <w:rsid w:val="0043480C"/>
    <w:rsid w:val="00437142"/>
    <w:rsid w:val="00437E98"/>
    <w:rsid w:val="00437F72"/>
    <w:rsid w:val="00441888"/>
    <w:rsid w:val="004419C0"/>
    <w:rsid w:val="004438C2"/>
    <w:rsid w:val="00444B77"/>
    <w:rsid w:val="00450301"/>
    <w:rsid w:val="00451F2C"/>
    <w:rsid w:val="00452548"/>
    <w:rsid w:val="004529AD"/>
    <w:rsid w:val="004537E6"/>
    <w:rsid w:val="00453FAE"/>
    <w:rsid w:val="00455313"/>
    <w:rsid w:val="004606B8"/>
    <w:rsid w:val="004639A4"/>
    <w:rsid w:val="00465CE8"/>
    <w:rsid w:val="00466507"/>
    <w:rsid w:val="00466A82"/>
    <w:rsid w:val="004700CB"/>
    <w:rsid w:val="004730F2"/>
    <w:rsid w:val="00475917"/>
    <w:rsid w:val="0047625F"/>
    <w:rsid w:val="00481326"/>
    <w:rsid w:val="004827E2"/>
    <w:rsid w:val="00482BA4"/>
    <w:rsid w:val="004835EA"/>
    <w:rsid w:val="00483F49"/>
    <w:rsid w:val="004918FF"/>
    <w:rsid w:val="004945CB"/>
    <w:rsid w:val="0049730B"/>
    <w:rsid w:val="004A12F0"/>
    <w:rsid w:val="004A1A86"/>
    <w:rsid w:val="004A23A3"/>
    <w:rsid w:val="004A326B"/>
    <w:rsid w:val="004A57E3"/>
    <w:rsid w:val="004A7040"/>
    <w:rsid w:val="004A7993"/>
    <w:rsid w:val="004B294A"/>
    <w:rsid w:val="004B2977"/>
    <w:rsid w:val="004B51E1"/>
    <w:rsid w:val="004B6FDD"/>
    <w:rsid w:val="004B783A"/>
    <w:rsid w:val="004C16B3"/>
    <w:rsid w:val="004C332E"/>
    <w:rsid w:val="004C356C"/>
    <w:rsid w:val="004C404F"/>
    <w:rsid w:val="004C5BC9"/>
    <w:rsid w:val="004D08F9"/>
    <w:rsid w:val="004D0D7A"/>
    <w:rsid w:val="004D1A30"/>
    <w:rsid w:val="004D3F55"/>
    <w:rsid w:val="004D5DA1"/>
    <w:rsid w:val="004E1C3E"/>
    <w:rsid w:val="004E3039"/>
    <w:rsid w:val="004E36F1"/>
    <w:rsid w:val="004E3718"/>
    <w:rsid w:val="004E5F29"/>
    <w:rsid w:val="004E6452"/>
    <w:rsid w:val="004F4F5A"/>
    <w:rsid w:val="004F6719"/>
    <w:rsid w:val="00503EA8"/>
    <w:rsid w:val="00507807"/>
    <w:rsid w:val="00514B82"/>
    <w:rsid w:val="00514CB9"/>
    <w:rsid w:val="0051580E"/>
    <w:rsid w:val="0051782E"/>
    <w:rsid w:val="00517ACD"/>
    <w:rsid w:val="00520206"/>
    <w:rsid w:val="00520368"/>
    <w:rsid w:val="0053383F"/>
    <w:rsid w:val="00537E9C"/>
    <w:rsid w:val="0054113B"/>
    <w:rsid w:val="005439AC"/>
    <w:rsid w:val="00543BB3"/>
    <w:rsid w:val="00543DD2"/>
    <w:rsid w:val="00544477"/>
    <w:rsid w:val="00544CDE"/>
    <w:rsid w:val="00546C8A"/>
    <w:rsid w:val="005520DC"/>
    <w:rsid w:val="005521E1"/>
    <w:rsid w:val="005523D9"/>
    <w:rsid w:val="0055351F"/>
    <w:rsid w:val="00553B42"/>
    <w:rsid w:val="00553DFE"/>
    <w:rsid w:val="00564FFC"/>
    <w:rsid w:val="005675FC"/>
    <w:rsid w:val="0056768D"/>
    <w:rsid w:val="00567B7E"/>
    <w:rsid w:val="005707EB"/>
    <w:rsid w:val="00570C4E"/>
    <w:rsid w:val="00571417"/>
    <w:rsid w:val="00572AAF"/>
    <w:rsid w:val="00572DC0"/>
    <w:rsid w:val="005738BB"/>
    <w:rsid w:val="00574217"/>
    <w:rsid w:val="005808CB"/>
    <w:rsid w:val="00581E89"/>
    <w:rsid w:val="005830A6"/>
    <w:rsid w:val="0058448C"/>
    <w:rsid w:val="00584C48"/>
    <w:rsid w:val="00593D88"/>
    <w:rsid w:val="00595A28"/>
    <w:rsid w:val="00595AA6"/>
    <w:rsid w:val="00595D56"/>
    <w:rsid w:val="00596891"/>
    <w:rsid w:val="005A4A2E"/>
    <w:rsid w:val="005A679C"/>
    <w:rsid w:val="005A6841"/>
    <w:rsid w:val="005B149B"/>
    <w:rsid w:val="005B1FEF"/>
    <w:rsid w:val="005B4A25"/>
    <w:rsid w:val="005B53E0"/>
    <w:rsid w:val="005B6CB3"/>
    <w:rsid w:val="005B7EFF"/>
    <w:rsid w:val="005C018E"/>
    <w:rsid w:val="005C073E"/>
    <w:rsid w:val="005C07AA"/>
    <w:rsid w:val="005C0FE8"/>
    <w:rsid w:val="005C1FB2"/>
    <w:rsid w:val="005C4208"/>
    <w:rsid w:val="005C613E"/>
    <w:rsid w:val="005D23FB"/>
    <w:rsid w:val="005D25D2"/>
    <w:rsid w:val="005D34C3"/>
    <w:rsid w:val="005D3571"/>
    <w:rsid w:val="005D4037"/>
    <w:rsid w:val="005D5A9A"/>
    <w:rsid w:val="005D6307"/>
    <w:rsid w:val="005D6E63"/>
    <w:rsid w:val="005D7983"/>
    <w:rsid w:val="005E2040"/>
    <w:rsid w:val="005E21D4"/>
    <w:rsid w:val="005E52FD"/>
    <w:rsid w:val="005E5BC4"/>
    <w:rsid w:val="005F02D0"/>
    <w:rsid w:val="005F14CE"/>
    <w:rsid w:val="005F2A47"/>
    <w:rsid w:val="005F6BA6"/>
    <w:rsid w:val="006000AD"/>
    <w:rsid w:val="006108E0"/>
    <w:rsid w:val="0061148E"/>
    <w:rsid w:val="0061437C"/>
    <w:rsid w:val="006165D0"/>
    <w:rsid w:val="0061669C"/>
    <w:rsid w:val="00616C6D"/>
    <w:rsid w:val="0061773E"/>
    <w:rsid w:val="006402B9"/>
    <w:rsid w:val="006407CC"/>
    <w:rsid w:val="00640B52"/>
    <w:rsid w:val="00643762"/>
    <w:rsid w:val="006504AF"/>
    <w:rsid w:val="006506A7"/>
    <w:rsid w:val="0065188E"/>
    <w:rsid w:val="00653DE7"/>
    <w:rsid w:val="00656802"/>
    <w:rsid w:val="00660978"/>
    <w:rsid w:val="00661B20"/>
    <w:rsid w:val="00662C21"/>
    <w:rsid w:val="00664A97"/>
    <w:rsid w:val="006714AA"/>
    <w:rsid w:val="006719DC"/>
    <w:rsid w:val="00671AEB"/>
    <w:rsid w:val="00671FAE"/>
    <w:rsid w:val="006723C6"/>
    <w:rsid w:val="00672900"/>
    <w:rsid w:val="006746B9"/>
    <w:rsid w:val="00677787"/>
    <w:rsid w:val="00682ECC"/>
    <w:rsid w:val="00684183"/>
    <w:rsid w:val="0068548A"/>
    <w:rsid w:val="00686763"/>
    <w:rsid w:val="00687B60"/>
    <w:rsid w:val="006913C0"/>
    <w:rsid w:val="00691ADF"/>
    <w:rsid w:val="006A04D5"/>
    <w:rsid w:val="006A06C8"/>
    <w:rsid w:val="006A07FE"/>
    <w:rsid w:val="006A3FE8"/>
    <w:rsid w:val="006A4569"/>
    <w:rsid w:val="006A6F09"/>
    <w:rsid w:val="006B25AC"/>
    <w:rsid w:val="006B2E83"/>
    <w:rsid w:val="006B438E"/>
    <w:rsid w:val="006B493A"/>
    <w:rsid w:val="006B5FC3"/>
    <w:rsid w:val="006B6E68"/>
    <w:rsid w:val="006B6F5C"/>
    <w:rsid w:val="006C2065"/>
    <w:rsid w:val="006C45CD"/>
    <w:rsid w:val="006D1FA9"/>
    <w:rsid w:val="006D274A"/>
    <w:rsid w:val="006D50FD"/>
    <w:rsid w:val="006D65CD"/>
    <w:rsid w:val="006D73C8"/>
    <w:rsid w:val="006D77C2"/>
    <w:rsid w:val="006E1597"/>
    <w:rsid w:val="006E23B5"/>
    <w:rsid w:val="006E295C"/>
    <w:rsid w:val="006E5350"/>
    <w:rsid w:val="006E5EA1"/>
    <w:rsid w:val="006E70FE"/>
    <w:rsid w:val="006F12E4"/>
    <w:rsid w:val="006F171A"/>
    <w:rsid w:val="006F1D0E"/>
    <w:rsid w:val="006F22BC"/>
    <w:rsid w:val="006F3794"/>
    <w:rsid w:val="006F4917"/>
    <w:rsid w:val="007048B2"/>
    <w:rsid w:val="00705A46"/>
    <w:rsid w:val="007103E8"/>
    <w:rsid w:val="00713D06"/>
    <w:rsid w:val="00713F45"/>
    <w:rsid w:val="0071692B"/>
    <w:rsid w:val="00721E4C"/>
    <w:rsid w:val="00722178"/>
    <w:rsid w:val="0072222A"/>
    <w:rsid w:val="00725C1E"/>
    <w:rsid w:val="00725F2A"/>
    <w:rsid w:val="007328F5"/>
    <w:rsid w:val="00733940"/>
    <w:rsid w:val="007339DB"/>
    <w:rsid w:val="007347A6"/>
    <w:rsid w:val="007377CB"/>
    <w:rsid w:val="00740DA2"/>
    <w:rsid w:val="00751865"/>
    <w:rsid w:val="0075400A"/>
    <w:rsid w:val="00755564"/>
    <w:rsid w:val="00755B37"/>
    <w:rsid w:val="007561A2"/>
    <w:rsid w:val="00757990"/>
    <w:rsid w:val="00757E84"/>
    <w:rsid w:val="00761B6B"/>
    <w:rsid w:val="007632F1"/>
    <w:rsid w:val="0076674C"/>
    <w:rsid w:val="00773A02"/>
    <w:rsid w:val="00774580"/>
    <w:rsid w:val="0078016B"/>
    <w:rsid w:val="00782378"/>
    <w:rsid w:val="00783AC5"/>
    <w:rsid w:val="00784157"/>
    <w:rsid w:val="007857D2"/>
    <w:rsid w:val="00786DA8"/>
    <w:rsid w:val="00787E26"/>
    <w:rsid w:val="0079178F"/>
    <w:rsid w:val="00791C45"/>
    <w:rsid w:val="00792FCC"/>
    <w:rsid w:val="00795BCB"/>
    <w:rsid w:val="00797618"/>
    <w:rsid w:val="007979B1"/>
    <w:rsid w:val="007A03C3"/>
    <w:rsid w:val="007A0898"/>
    <w:rsid w:val="007A20DB"/>
    <w:rsid w:val="007A5C99"/>
    <w:rsid w:val="007A64A0"/>
    <w:rsid w:val="007A7B92"/>
    <w:rsid w:val="007B1445"/>
    <w:rsid w:val="007B512D"/>
    <w:rsid w:val="007B760A"/>
    <w:rsid w:val="007C1035"/>
    <w:rsid w:val="007C1928"/>
    <w:rsid w:val="007C24DD"/>
    <w:rsid w:val="007C4222"/>
    <w:rsid w:val="007C5CFA"/>
    <w:rsid w:val="007C6830"/>
    <w:rsid w:val="007C69D6"/>
    <w:rsid w:val="007C740F"/>
    <w:rsid w:val="007C757F"/>
    <w:rsid w:val="007D0C57"/>
    <w:rsid w:val="007D1C79"/>
    <w:rsid w:val="007D43C2"/>
    <w:rsid w:val="007E0224"/>
    <w:rsid w:val="007E2082"/>
    <w:rsid w:val="007E20BC"/>
    <w:rsid w:val="007E22D3"/>
    <w:rsid w:val="007E5968"/>
    <w:rsid w:val="007F23E9"/>
    <w:rsid w:val="007F3F5D"/>
    <w:rsid w:val="007F60DF"/>
    <w:rsid w:val="007F63CA"/>
    <w:rsid w:val="00801DD3"/>
    <w:rsid w:val="008023B0"/>
    <w:rsid w:val="00804706"/>
    <w:rsid w:val="00807412"/>
    <w:rsid w:val="008077D4"/>
    <w:rsid w:val="008110BB"/>
    <w:rsid w:val="00813618"/>
    <w:rsid w:val="00814B8F"/>
    <w:rsid w:val="00814DE9"/>
    <w:rsid w:val="00815C20"/>
    <w:rsid w:val="00815D18"/>
    <w:rsid w:val="00820970"/>
    <w:rsid w:val="00823432"/>
    <w:rsid w:val="00826AB0"/>
    <w:rsid w:val="008276C2"/>
    <w:rsid w:val="008278EF"/>
    <w:rsid w:val="008306FF"/>
    <w:rsid w:val="0083398E"/>
    <w:rsid w:val="008339DF"/>
    <w:rsid w:val="00833D86"/>
    <w:rsid w:val="00836602"/>
    <w:rsid w:val="008375B5"/>
    <w:rsid w:val="00840280"/>
    <w:rsid w:val="0084108D"/>
    <w:rsid w:val="008424BD"/>
    <w:rsid w:val="008446D2"/>
    <w:rsid w:val="008459D3"/>
    <w:rsid w:val="00854028"/>
    <w:rsid w:val="0085421A"/>
    <w:rsid w:val="00855B29"/>
    <w:rsid w:val="008573D9"/>
    <w:rsid w:val="00863AF3"/>
    <w:rsid w:val="00863E3F"/>
    <w:rsid w:val="00863ED7"/>
    <w:rsid w:val="00865CD9"/>
    <w:rsid w:val="00866797"/>
    <w:rsid w:val="00871E41"/>
    <w:rsid w:val="0087207E"/>
    <w:rsid w:val="008808B9"/>
    <w:rsid w:val="0088396E"/>
    <w:rsid w:val="0089008E"/>
    <w:rsid w:val="008906D5"/>
    <w:rsid w:val="00894503"/>
    <w:rsid w:val="0089465D"/>
    <w:rsid w:val="00895F8F"/>
    <w:rsid w:val="00897697"/>
    <w:rsid w:val="008A1896"/>
    <w:rsid w:val="008A2B7E"/>
    <w:rsid w:val="008A7458"/>
    <w:rsid w:val="008B462A"/>
    <w:rsid w:val="008B4E4A"/>
    <w:rsid w:val="008B5DD9"/>
    <w:rsid w:val="008B65BD"/>
    <w:rsid w:val="008B7F74"/>
    <w:rsid w:val="008C1316"/>
    <w:rsid w:val="008C3CF6"/>
    <w:rsid w:val="008C5277"/>
    <w:rsid w:val="008C5556"/>
    <w:rsid w:val="008C6A1B"/>
    <w:rsid w:val="008D23E0"/>
    <w:rsid w:val="008D350C"/>
    <w:rsid w:val="008D3B9A"/>
    <w:rsid w:val="008D432B"/>
    <w:rsid w:val="008D458C"/>
    <w:rsid w:val="008D4A6A"/>
    <w:rsid w:val="008D4C2C"/>
    <w:rsid w:val="008E2CE8"/>
    <w:rsid w:val="008E39C9"/>
    <w:rsid w:val="008E612F"/>
    <w:rsid w:val="008F04D3"/>
    <w:rsid w:val="008F4CFC"/>
    <w:rsid w:val="00902884"/>
    <w:rsid w:val="00902D4A"/>
    <w:rsid w:val="00902D79"/>
    <w:rsid w:val="00904733"/>
    <w:rsid w:val="009052F5"/>
    <w:rsid w:val="009057F8"/>
    <w:rsid w:val="00910EAB"/>
    <w:rsid w:val="0091139C"/>
    <w:rsid w:val="009116C2"/>
    <w:rsid w:val="009122D2"/>
    <w:rsid w:val="00916E46"/>
    <w:rsid w:val="00917131"/>
    <w:rsid w:val="009226BE"/>
    <w:rsid w:val="0092298B"/>
    <w:rsid w:val="00922BA8"/>
    <w:rsid w:val="00924C26"/>
    <w:rsid w:val="009267E5"/>
    <w:rsid w:val="00931C7B"/>
    <w:rsid w:val="00932A60"/>
    <w:rsid w:val="00932C6A"/>
    <w:rsid w:val="00934889"/>
    <w:rsid w:val="009406C4"/>
    <w:rsid w:val="00944047"/>
    <w:rsid w:val="0094790D"/>
    <w:rsid w:val="00951073"/>
    <w:rsid w:val="00952609"/>
    <w:rsid w:val="009536EB"/>
    <w:rsid w:val="00953E80"/>
    <w:rsid w:val="00956D3E"/>
    <w:rsid w:val="00960219"/>
    <w:rsid w:val="00960455"/>
    <w:rsid w:val="00962E5B"/>
    <w:rsid w:val="00964653"/>
    <w:rsid w:val="00971DC0"/>
    <w:rsid w:val="00972AB1"/>
    <w:rsid w:val="00976B1F"/>
    <w:rsid w:val="009777B5"/>
    <w:rsid w:val="00980F1F"/>
    <w:rsid w:val="00986E0F"/>
    <w:rsid w:val="00994F28"/>
    <w:rsid w:val="00997D11"/>
    <w:rsid w:val="00997D8C"/>
    <w:rsid w:val="009A1639"/>
    <w:rsid w:val="009A22DA"/>
    <w:rsid w:val="009A55C6"/>
    <w:rsid w:val="009A658B"/>
    <w:rsid w:val="009B10F7"/>
    <w:rsid w:val="009B4BF5"/>
    <w:rsid w:val="009B4D08"/>
    <w:rsid w:val="009C10FC"/>
    <w:rsid w:val="009C4431"/>
    <w:rsid w:val="009D08E4"/>
    <w:rsid w:val="009E1E40"/>
    <w:rsid w:val="009E23E7"/>
    <w:rsid w:val="009F234D"/>
    <w:rsid w:val="009F3626"/>
    <w:rsid w:val="009F3D9D"/>
    <w:rsid w:val="00A00856"/>
    <w:rsid w:val="00A02680"/>
    <w:rsid w:val="00A02F8F"/>
    <w:rsid w:val="00A11E4D"/>
    <w:rsid w:val="00A14FE4"/>
    <w:rsid w:val="00A160D7"/>
    <w:rsid w:val="00A17A87"/>
    <w:rsid w:val="00A17D15"/>
    <w:rsid w:val="00A223A2"/>
    <w:rsid w:val="00A23F62"/>
    <w:rsid w:val="00A30309"/>
    <w:rsid w:val="00A30E30"/>
    <w:rsid w:val="00A31CF1"/>
    <w:rsid w:val="00A3215D"/>
    <w:rsid w:val="00A332F5"/>
    <w:rsid w:val="00A36ECD"/>
    <w:rsid w:val="00A42675"/>
    <w:rsid w:val="00A43AFB"/>
    <w:rsid w:val="00A44CB1"/>
    <w:rsid w:val="00A467D7"/>
    <w:rsid w:val="00A47AAE"/>
    <w:rsid w:val="00A51B47"/>
    <w:rsid w:val="00A5341D"/>
    <w:rsid w:val="00A53554"/>
    <w:rsid w:val="00A55EF4"/>
    <w:rsid w:val="00A57550"/>
    <w:rsid w:val="00A61320"/>
    <w:rsid w:val="00A61DC8"/>
    <w:rsid w:val="00A6244B"/>
    <w:rsid w:val="00A67793"/>
    <w:rsid w:val="00A70430"/>
    <w:rsid w:val="00A72079"/>
    <w:rsid w:val="00A72EDF"/>
    <w:rsid w:val="00A7438C"/>
    <w:rsid w:val="00A77732"/>
    <w:rsid w:val="00A80526"/>
    <w:rsid w:val="00A83871"/>
    <w:rsid w:val="00A8458F"/>
    <w:rsid w:val="00A860CB"/>
    <w:rsid w:val="00A87D5E"/>
    <w:rsid w:val="00A91D2E"/>
    <w:rsid w:val="00A96AD9"/>
    <w:rsid w:val="00A96ED5"/>
    <w:rsid w:val="00AA0733"/>
    <w:rsid w:val="00AA0FF2"/>
    <w:rsid w:val="00AA14BD"/>
    <w:rsid w:val="00AA5141"/>
    <w:rsid w:val="00AA51BA"/>
    <w:rsid w:val="00AA6EEB"/>
    <w:rsid w:val="00AB37F2"/>
    <w:rsid w:val="00AB41F0"/>
    <w:rsid w:val="00AB4682"/>
    <w:rsid w:val="00AB6BB0"/>
    <w:rsid w:val="00AC369B"/>
    <w:rsid w:val="00AC5A02"/>
    <w:rsid w:val="00AD1BED"/>
    <w:rsid w:val="00AD30AE"/>
    <w:rsid w:val="00AD3E9B"/>
    <w:rsid w:val="00AD5B09"/>
    <w:rsid w:val="00AD73D6"/>
    <w:rsid w:val="00AE23FD"/>
    <w:rsid w:val="00AE2A18"/>
    <w:rsid w:val="00AE4172"/>
    <w:rsid w:val="00AE6FF5"/>
    <w:rsid w:val="00AF459A"/>
    <w:rsid w:val="00AF4B0B"/>
    <w:rsid w:val="00AF7904"/>
    <w:rsid w:val="00B02CC6"/>
    <w:rsid w:val="00B03D6B"/>
    <w:rsid w:val="00B04F7D"/>
    <w:rsid w:val="00B07819"/>
    <w:rsid w:val="00B15F44"/>
    <w:rsid w:val="00B164EE"/>
    <w:rsid w:val="00B16CB3"/>
    <w:rsid w:val="00B17686"/>
    <w:rsid w:val="00B25205"/>
    <w:rsid w:val="00B2584C"/>
    <w:rsid w:val="00B25ED1"/>
    <w:rsid w:val="00B26EBC"/>
    <w:rsid w:val="00B276C9"/>
    <w:rsid w:val="00B276E3"/>
    <w:rsid w:val="00B30178"/>
    <w:rsid w:val="00B3194E"/>
    <w:rsid w:val="00B3470C"/>
    <w:rsid w:val="00B34872"/>
    <w:rsid w:val="00B348A0"/>
    <w:rsid w:val="00B378FF"/>
    <w:rsid w:val="00B50FE5"/>
    <w:rsid w:val="00B52629"/>
    <w:rsid w:val="00B53264"/>
    <w:rsid w:val="00B53F74"/>
    <w:rsid w:val="00B547F8"/>
    <w:rsid w:val="00B5560E"/>
    <w:rsid w:val="00B604A2"/>
    <w:rsid w:val="00B67319"/>
    <w:rsid w:val="00B7058B"/>
    <w:rsid w:val="00B729AD"/>
    <w:rsid w:val="00B735E0"/>
    <w:rsid w:val="00B7453F"/>
    <w:rsid w:val="00B80A36"/>
    <w:rsid w:val="00B83F73"/>
    <w:rsid w:val="00B84B9F"/>
    <w:rsid w:val="00B8525E"/>
    <w:rsid w:val="00B85A8F"/>
    <w:rsid w:val="00B875AD"/>
    <w:rsid w:val="00B90E8A"/>
    <w:rsid w:val="00B91A9B"/>
    <w:rsid w:val="00B94EB6"/>
    <w:rsid w:val="00B95A2B"/>
    <w:rsid w:val="00BA2CF1"/>
    <w:rsid w:val="00BA2D5F"/>
    <w:rsid w:val="00BA3703"/>
    <w:rsid w:val="00BA5A58"/>
    <w:rsid w:val="00BB21B4"/>
    <w:rsid w:val="00BB69DE"/>
    <w:rsid w:val="00BB7725"/>
    <w:rsid w:val="00BC06CD"/>
    <w:rsid w:val="00BC246C"/>
    <w:rsid w:val="00BC4D38"/>
    <w:rsid w:val="00BC7303"/>
    <w:rsid w:val="00BC7C9D"/>
    <w:rsid w:val="00BC7E7A"/>
    <w:rsid w:val="00BE153A"/>
    <w:rsid w:val="00BE2756"/>
    <w:rsid w:val="00BE45A5"/>
    <w:rsid w:val="00BE5058"/>
    <w:rsid w:val="00BE659B"/>
    <w:rsid w:val="00BF02EE"/>
    <w:rsid w:val="00BF2652"/>
    <w:rsid w:val="00BF4992"/>
    <w:rsid w:val="00BF4C43"/>
    <w:rsid w:val="00BF63D0"/>
    <w:rsid w:val="00BF6F8F"/>
    <w:rsid w:val="00C038E8"/>
    <w:rsid w:val="00C0503E"/>
    <w:rsid w:val="00C05957"/>
    <w:rsid w:val="00C06547"/>
    <w:rsid w:val="00C069F8"/>
    <w:rsid w:val="00C07BB3"/>
    <w:rsid w:val="00C101C4"/>
    <w:rsid w:val="00C1050F"/>
    <w:rsid w:val="00C10D43"/>
    <w:rsid w:val="00C10DBC"/>
    <w:rsid w:val="00C117CD"/>
    <w:rsid w:val="00C13690"/>
    <w:rsid w:val="00C14622"/>
    <w:rsid w:val="00C167EF"/>
    <w:rsid w:val="00C17700"/>
    <w:rsid w:val="00C207D3"/>
    <w:rsid w:val="00C20940"/>
    <w:rsid w:val="00C22058"/>
    <w:rsid w:val="00C2362D"/>
    <w:rsid w:val="00C248A3"/>
    <w:rsid w:val="00C24B67"/>
    <w:rsid w:val="00C25AA3"/>
    <w:rsid w:val="00C2787F"/>
    <w:rsid w:val="00C27F46"/>
    <w:rsid w:val="00C30DF2"/>
    <w:rsid w:val="00C42CEB"/>
    <w:rsid w:val="00C5175A"/>
    <w:rsid w:val="00C53230"/>
    <w:rsid w:val="00C61AB6"/>
    <w:rsid w:val="00C65159"/>
    <w:rsid w:val="00C66FDA"/>
    <w:rsid w:val="00C67B17"/>
    <w:rsid w:val="00C7179B"/>
    <w:rsid w:val="00C72DF4"/>
    <w:rsid w:val="00C73834"/>
    <w:rsid w:val="00C73E06"/>
    <w:rsid w:val="00C77C49"/>
    <w:rsid w:val="00C8052E"/>
    <w:rsid w:val="00C81B84"/>
    <w:rsid w:val="00C81E48"/>
    <w:rsid w:val="00C91B10"/>
    <w:rsid w:val="00C97920"/>
    <w:rsid w:val="00CA46C2"/>
    <w:rsid w:val="00CA5832"/>
    <w:rsid w:val="00CB0BB1"/>
    <w:rsid w:val="00CB1DE6"/>
    <w:rsid w:val="00CB624D"/>
    <w:rsid w:val="00CB637F"/>
    <w:rsid w:val="00CB6CF0"/>
    <w:rsid w:val="00CB6E53"/>
    <w:rsid w:val="00CB73B8"/>
    <w:rsid w:val="00CC01F8"/>
    <w:rsid w:val="00CC08A4"/>
    <w:rsid w:val="00CC34B9"/>
    <w:rsid w:val="00CC3CCA"/>
    <w:rsid w:val="00CC3FB9"/>
    <w:rsid w:val="00CC4861"/>
    <w:rsid w:val="00CC6CAF"/>
    <w:rsid w:val="00CC744A"/>
    <w:rsid w:val="00CD0433"/>
    <w:rsid w:val="00CD1618"/>
    <w:rsid w:val="00CD7302"/>
    <w:rsid w:val="00CD78C2"/>
    <w:rsid w:val="00CD7CB6"/>
    <w:rsid w:val="00CE0FA1"/>
    <w:rsid w:val="00CE52C8"/>
    <w:rsid w:val="00CE7D3A"/>
    <w:rsid w:val="00CF22CD"/>
    <w:rsid w:val="00CF2C9E"/>
    <w:rsid w:val="00CF3256"/>
    <w:rsid w:val="00CF340A"/>
    <w:rsid w:val="00CF6467"/>
    <w:rsid w:val="00D006B8"/>
    <w:rsid w:val="00D047EB"/>
    <w:rsid w:val="00D0581B"/>
    <w:rsid w:val="00D059F4"/>
    <w:rsid w:val="00D1094F"/>
    <w:rsid w:val="00D114A2"/>
    <w:rsid w:val="00D12290"/>
    <w:rsid w:val="00D16D6F"/>
    <w:rsid w:val="00D16FE9"/>
    <w:rsid w:val="00D209A3"/>
    <w:rsid w:val="00D22BB9"/>
    <w:rsid w:val="00D235C8"/>
    <w:rsid w:val="00D23DE2"/>
    <w:rsid w:val="00D30878"/>
    <w:rsid w:val="00D319AD"/>
    <w:rsid w:val="00D32A6C"/>
    <w:rsid w:val="00D32F03"/>
    <w:rsid w:val="00D333C5"/>
    <w:rsid w:val="00D34997"/>
    <w:rsid w:val="00D35EF4"/>
    <w:rsid w:val="00D37688"/>
    <w:rsid w:val="00D41D13"/>
    <w:rsid w:val="00D42265"/>
    <w:rsid w:val="00D42455"/>
    <w:rsid w:val="00D4362B"/>
    <w:rsid w:val="00D45C2B"/>
    <w:rsid w:val="00D4771E"/>
    <w:rsid w:val="00D50DBC"/>
    <w:rsid w:val="00D52379"/>
    <w:rsid w:val="00D5654C"/>
    <w:rsid w:val="00D57D8E"/>
    <w:rsid w:val="00D610EF"/>
    <w:rsid w:val="00D61C0F"/>
    <w:rsid w:val="00D62AF2"/>
    <w:rsid w:val="00D64B83"/>
    <w:rsid w:val="00D653A6"/>
    <w:rsid w:val="00D6792E"/>
    <w:rsid w:val="00D67BA2"/>
    <w:rsid w:val="00D72019"/>
    <w:rsid w:val="00D7539F"/>
    <w:rsid w:val="00D75559"/>
    <w:rsid w:val="00D76A8D"/>
    <w:rsid w:val="00D76B08"/>
    <w:rsid w:val="00D80067"/>
    <w:rsid w:val="00D80D00"/>
    <w:rsid w:val="00D83AD6"/>
    <w:rsid w:val="00D843D4"/>
    <w:rsid w:val="00D84F43"/>
    <w:rsid w:val="00D85182"/>
    <w:rsid w:val="00D857F6"/>
    <w:rsid w:val="00D87F61"/>
    <w:rsid w:val="00D922BC"/>
    <w:rsid w:val="00D95B4C"/>
    <w:rsid w:val="00D96608"/>
    <w:rsid w:val="00D97BC5"/>
    <w:rsid w:val="00DA184B"/>
    <w:rsid w:val="00DA28CC"/>
    <w:rsid w:val="00DA2B32"/>
    <w:rsid w:val="00DA45C7"/>
    <w:rsid w:val="00DA4B07"/>
    <w:rsid w:val="00DB0536"/>
    <w:rsid w:val="00DB5722"/>
    <w:rsid w:val="00DC207A"/>
    <w:rsid w:val="00DC2339"/>
    <w:rsid w:val="00DC2786"/>
    <w:rsid w:val="00DC6409"/>
    <w:rsid w:val="00DD2D26"/>
    <w:rsid w:val="00DD416E"/>
    <w:rsid w:val="00DD5681"/>
    <w:rsid w:val="00DD7CB5"/>
    <w:rsid w:val="00DE2B55"/>
    <w:rsid w:val="00DF1A4C"/>
    <w:rsid w:val="00DF1BAE"/>
    <w:rsid w:val="00DF6D9F"/>
    <w:rsid w:val="00E01F67"/>
    <w:rsid w:val="00E04EBD"/>
    <w:rsid w:val="00E12072"/>
    <w:rsid w:val="00E12E54"/>
    <w:rsid w:val="00E12F89"/>
    <w:rsid w:val="00E1475D"/>
    <w:rsid w:val="00E170D2"/>
    <w:rsid w:val="00E23775"/>
    <w:rsid w:val="00E25DF0"/>
    <w:rsid w:val="00E275D4"/>
    <w:rsid w:val="00E30459"/>
    <w:rsid w:val="00E31E00"/>
    <w:rsid w:val="00E3371E"/>
    <w:rsid w:val="00E33FD1"/>
    <w:rsid w:val="00E34232"/>
    <w:rsid w:val="00E34E22"/>
    <w:rsid w:val="00E35073"/>
    <w:rsid w:val="00E371E3"/>
    <w:rsid w:val="00E408FD"/>
    <w:rsid w:val="00E42844"/>
    <w:rsid w:val="00E44713"/>
    <w:rsid w:val="00E51881"/>
    <w:rsid w:val="00E519F6"/>
    <w:rsid w:val="00E51CB7"/>
    <w:rsid w:val="00E54557"/>
    <w:rsid w:val="00E5464D"/>
    <w:rsid w:val="00E55922"/>
    <w:rsid w:val="00E60F5B"/>
    <w:rsid w:val="00E626F7"/>
    <w:rsid w:val="00E70D06"/>
    <w:rsid w:val="00E7577D"/>
    <w:rsid w:val="00E75B45"/>
    <w:rsid w:val="00E8053A"/>
    <w:rsid w:val="00E82B78"/>
    <w:rsid w:val="00E83805"/>
    <w:rsid w:val="00E838E9"/>
    <w:rsid w:val="00E83AED"/>
    <w:rsid w:val="00E84756"/>
    <w:rsid w:val="00E84B33"/>
    <w:rsid w:val="00E8605B"/>
    <w:rsid w:val="00E911CD"/>
    <w:rsid w:val="00E91B85"/>
    <w:rsid w:val="00E928BA"/>
    <w:rsid w:val="00E941A5"/>
    <w:rsid w:val="00E9741E"/>
    <w:rsid w:val="00E97838"/>
    <w:rsid w:val="00EA0B85"/>
    <w:rsid w:val="00EA29C6"/>
    <w:rsid w:val="00EA354A"/>
    <w:rsid w:val="00EA6588"/>
    <w:rsid w:val="00EB416D"/>
    <w:rsid w:val="00EB4B41"/>
    <w:rsid w:val="00EB51CB"/>
    <w:rsid w:val="00EB5AFB"/>
    <w:rsid w:val="00EB6A31"/>
    <w:rsid w:val="00EB7ADF"/>
    <w:rsid w:val="00EC1A1C"/>
    <w:rsid w:val="00EC31F4"/>
    <w:rsid w:val="00EC48DE"/>
    <w:rsid w:val="00EC65C4"/>
    <w:rsid w:val="00EC7AC0"/>
    <w:rsid w:val="00ED18AA"/>
    <w:rsid w:val="00ED1B01"/>
    <w:rsid w:val="00ED274A"/>
    <w:rsid w:val="00ED36DE"/>
    <w:rsid w:val="00ED3B9D"/>
    <w:rsid w:val="00EE6D04"/>
    <w:rsid w:val="00EF050F"/>
    <w:rsid w:val="00EF0D6D"/>
    <w:rsid w:val="00EF410E"/>
    <w:rsid w:val="00EF4201"/>
    <w:rsid w:val="00EF5CD6"/>
    <w:rsid w:val="00F00E96"/>
    <w:rsid w:val="00F036D6"/>
    <w:rsid w:val="00F047E8"/>
    <w:rsid w:val="00F069DC"/>
    <w:rsid w:val="00F10BDF"/>
    <w:rsid w:val="00F15A7C"/>
    <w:rsid w:val="00F16AF2"/>
    <w:rsid w:val="00F21396"/>
    <w:rsid w:val="00F22BDA"/>
    <w:rsid w:val="00F2344C"/>
    <w:rsid w:val="00F244CA"/>
    <w:rsid w:val="00F24E61"/>
    <w:rsid w:val="00F266F5"/>
    <w:rsid w:val="00F27401"/>
    <w:rsid w:val="00F30FB0"/>
    <w:rsid w:val="00F31294"/>
    <w:rsid w:val="00F33EC2"/>
    <w:rsid w:val="00F34B45"/>
    <w:rsid w:val="00F367C3"/>
    <w:rsid w:val="00F36BC5"/>
    <w:rsid w:val="00F40A17"/>
    <w:rsid w:val="00F42F13"/>
    <w:rsid w:val="00F43A51"/>
    <w:rsid w:val="00F441B1"/>
    <w:rsid w:val="00F457D8"/>
    <w:rsid w:val="00F4733A"/>
    <w:rsid w:val="00F506CB"/>
    <w:rsid w:val="00F50BA2"/>
    <w:rsid w:val="00F52E2E"/>
    <w:rsid w:val="00F53941"/>
    <w:rsid w:val="00F5670F"/>
    <w:rsid w:val="00F63D8B"/>
    <w:rsid w:val="00F64C6B"/>
    <w:rsid w:val="00F65182"/>
    <w:rsid w:val="00F65201"/>
    <w:rsid w:val="00F653A4"/>
    <w:rsid w:val="00F65603"/>
    <w:rsid w:val="00F66015"/>
    <w:rsid w:val="00F70120"/>
    <w:rsid w:val="00F70732"/>
    <w:rsid w:val="00F81A16"/>
    <w:rsid w:val="00F82C2B"/>
    <w:rsid w:val="00F82EDE"/>
    <w:rsid w:val="00F92DC5"/>
    <w:rsid w:val="00FA13E3"/>
    <w:rsid w:val="00FA3D89"/>
    <w:rsid w:val="00FA4096"/>
    <w:rsid w:val="00FA42BF"/>
    <w:rsid w:val="00FA68CE"/>
    <w:rsid w:val="00FB2DDC"/>
    <w:rsid w:val="00FB359A"/>
    <w:rsid w:val="00FB4B88"/>
    <w:rsid w:val="00FB5043"/>
    <w:rsid w:val="00FB530A"/>
    <w:rsid w:val="00FB6434"/>
    <w:rsid w:val="00FC0EC0"/>
    <w:rsid w:val="00FC0F1D"/>
    <w:rsid w:val="00FC1268"/>
    <w:rsid w:val="00FC14A0"/>
    <w:rsid w:val="00FC1AD4"/>
    <w:rsid w:val="00FC6F94"/>
    <w:rsid w:val="00FC78D7"/>
    <w:rsid w:val="00FD07DE"/>
    <w:rsid w:val="00FD094B"/>
    <w:rsid w:val="00FD49A5"/>
    <w:rsid w:val="00FD4B29"/>
    <w:rsid w:val="00FE671B"/>
    <w:rsid w:val="00FF2467"/>
    <w:rsid w:val="00FF4BC1"/>
    <w:rsid w:val="04FD2011"/>
    <w:rsid w:val="05AEF374"/>
    <w:rsid w:val="05C9B7E3"/>
    <w:rsid w:val="05CDCD6D"/>
    <w:rsid w:val="061DBD1C"/>
    <w:rsid w:val="06B0534E"/>
    <w:rsid w:val="0AF1F07A"/>
    <w:rsid w:val="0C2A98B4"/>
    <w:rsid w:val="0CF84193"/>
    <w:rsid w:val="0DBA8FA9"/>
    <w:rsid w:val="0E218B5E"/>
    <w:rsid w:val="0E257843"/>
    <w:rsid w:val="116B1E9E"/>
    <w:rsid w:val="1361C7A5"/>
    <w:rsid w:val="13A8FD43"/>
    <w:rsid w:val="13BA872C"/>
    <w:rsid w:val="141F405D"/>
    <w:rsid w:val="1479AB0D"/>
    <w:rsid w:val="147DBEE6"/>
    <w:rsid w:val="167C3028"/>
    <w:rsid w:val="177ACCE6"/>
    <w:rsid w:val="18A70126"/>
    <w:rsid w:val="1935F680"/>
    <w:rsid w:val="1B39F843"/>
    <w:rsid w:val="1BA4CBC2"/>
    <w:rsid w:val="1CB07345"/>
    <w:rsid w:val="1D6906CB"/>
    <w:rsid w:val="1DC1D3F8"/>
    <w:rsid w:val="206E4AFD"/>
    <w:rsid w:val="2086EB5A"/>
    <w:rsid w:val="2327A203"/>
    <w:rsid w:val="23BFA286"/>
    <w:rsid w:val="23EC5144"/>
    <w:rsid w:val="251317F6"/>
    <w:rsid w:val="26A6B5F3"/>
    <w:rsid w:val="26DA212D"/>
    <w:rsid w:val="28423A9C"/>
    <w:rsid w:val="28E67698"/>
    <w:rsid w:val="29F95E36"/>
    <w:rsid w:val="2A26000A"/>
    <w:rsid w:val="2A5AEE85"/>
    <w:rsid w:val="2B9DD4B6"/>
    <w:rsid w:val="2BE64ADE"/>
    <w:rsid w:val="2C759F18"/>
    <w:rsid w:val="2CF9AFA3"/>
    <w:rsid w:val="2D0AA2ED"/>
    <w:rsid w:val="2DCC26A4"/>
    <w:rsid w:val="2EEA9648"/>
    <w:rsid w:val="2EF603D0"/>
    <w:rsid w:val="2FA4278D"/>
    <w:rsid w:val="3150C5CE"/>
    <w:rsid w:val="321CEBE6"/>
    <w:rsid w:val="322FAC4E"/>
    <w:rsid w:val="32A7BB29"/>
    <w:rsid w:val="32DB9239"/>
    <w:rsid w:val="33617D37"/>
    <w:rsid w:val="34F1C154"/>
    <w:rsid w:val="361B5493"/>
    <w:rsid w:val="362F88C4"/>
    <w:rsid w:val="36F3051B"/>
    <w:rsid w:val="37CC9D20"/>
    <w:rsid w:val="3864AA23"/>
    <w:rsid w:val="38AD676B"/>
    <w:rsid w:val="38F03334"/>
    <w:rsid w:val="39217B38"/>
    <w:rsid w:val="396CEF1C"/>
    <w:rsid w:val="3AF00FBA"/>
    <w:rsid w:val="3B40E8C0"/>
    <w:rsid w:val="3B8EAE84"/>
    <w:rsid w:val="3BCD7555"/>
    <w:rsid w:val="3C21F449"/>
    <w:rsid w:val="3CBB0662"/>
    <w:rsid w:val="3D23F028"/>
    <w:rsid w:val="3D7864C4"/>
    <w:rsid w:val="3DBCCDC5"/>
    <w:rsid w:val="3EF97301"/>
    <w:rsid w:val="3F1FAD40"/>
    <w:rsid w:val="3F3AA5E9"/>
    <w:rsid w:val="3FC306B0"/>
    <w:rsid w:val="401CE9BA"/>
    <w:rsid w:val="40E0B2A8"/>
    <w:rsid w:val="42302D19"/>
    <w:rsid w:val="427E88C7"/>
    <w:rsid w:val="4369E693"/>
    <w:rsid w:val="441175CD"/>
    <w:rsid w:val="44E204B6"/>
    <w:rsid w:val="45BE9210"/>
    <w:rsid w:val="45E20811"/>
    <w:rsid w:val="46E43BF4"/>
    <w:rsid w:val="46F5DBCE"/>
    <w:rsid w:val="471B1239"/>
    <w:rsid w:val="484FB40F"/>
    <w:rsid w:val="49FDD3E9"/>
    <w:rsid w:val="4A1C469B"/>
    <w:rsid w:val="4A79D762"/>
    <w:rsid w:val="4B289C51"/>
    <w:rsid w:val="4B36FDC2"/>
    <w:rsid w:val="4C08F32B"/>
    <w:rsid w:val="4C1C3004"/>
    <w:rsid w:val="4CFB09B0"/>
    <w:rsid w:val="4F1BAED4"/>
    <w:rsid w:val="4F276194"/>
    <w:rsid w:val="4F5254EC"/>
    <w:rsid w:val="4FB65A51"/>
    <w:rsid w:val="50614248"/>
    <w:rsid w:val="51466305"/>
    <w:rsid w:val="5239711E"/>
    <w:rsid w:val="532DE6FC"/>
    <w:rsid w:val="5504C298"/>
    <w:rsid w:val="55764DFE"/>
    <w:rsid w:val="55A62FE7"/>
    <w:rsid w:val="560BCC15"/>
    <w:rsid w:val="56940772"/>
    <w:rsid w:val="570D485B"/>
    <w:rsid w:val="5867E341"/>
    <w:rsid w:val="58D9CCA1"/>
    <w:rsid w:val="5989F80C"/>
    <w:rsid w:val="59BF0EE7"/>
    <w:rsid w:val="5B9FF495"/>
    <w:rsid w:val="5CFA22A4"/>
    <w:rsid w:val="5F3EDFDB"/>
    <w:rsid w:val="5FCA0046"/>
    <w:rsid w:val="615775C8"/>
    <w:rsid w:val="61790EC6"/>
    <w:rsid w:val="62059EF9"/>
    <w:rsid w:val="621C3441"/>
    <w:rsid w:val="62ABD15F"/>
    <w:rsid w:val="62F55C98"/>
    <w:rsid w:val="63162653"/>
    <w:rsid w:val="633E92B9"/>
    <w:rsid w:val="6363568E"/>
    <w:rsid w:val="64655406"/>
    <w:rsid w:val="648E4696"/>
    <w:rsid w:val="64DAD5FA"/>
    <w:rsid w:val="64F65A3E"/>
    <w:rsid w:val="66D833DF"/>
    <w:rsid w:val="67EAF28D"/>
    <w:rsid w:val="68EEA20A"/>
    <w:rsid w:val="6A00C28C"/>
    <w:rsid w:val="6BE8F82A"/>
    <w:rsid w:val="6D978694"/>
    <w:rsid w:val="6DF63711"/>
    <w:rsid w:val="6DF6A48F"/>
    <w:rsid w:val="6F25F913"/>
    <w:rsid w:val="714FF9C0"/>
    <w:rsid w:val="72ABD5B3"/>
    <w:rsid w:val="7371F018"/>
    <w:rsid w:val="755C30E8"/>
    <w:rsid w:val="76CB342A"/>
    <w:rsid w:val="78430F8C"/>
    <w:rsid w:val="78E4C3A7"/>
    <w:rsid w:val="79B690A1"/>
    <w:rsid w:val="7C0C099D"/>
    <w:rsid w:val="7C1C65FD"/>
    <w:rsid w:val="7D859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EFA2"/>
  <w15:chartTrackingRefBased/>
  <w15:docId w15:val="{2D7F5FDA-34FD-4870-95BA-7DA5E40D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B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F7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AF7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F7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90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F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F7904"/>
  </w:style>
  <w:style w:type="character" w:customStyle="1" w:styleId="eop">
    <w:name w:val="eop"/>
    <w:basedOn w:val="DefaultParagraphFont"/>
    <w:rsid w:val="00AF7904"/>
  </w:style>
  <w:style w:type="character" w:customStyle="1" w:styleId="ui-provider">
    <w:name w:val="ui-provider"/>
    <w:basedOn w:val="DefaultParagraphFont"/>
    <w:rsid w:val="00AF7904"/>
  </w:style>
  <w:style w:type="table" w:styleId="TableGrid">
    <w:name w:val="Table Grid"/>
    <w:basedOn w:val="TableNormal"/>
    <w:uiPriority w:val="39"/>
    <w:rsid w:val="00AF7904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D43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3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3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4E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E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4E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EB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4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71E3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6A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A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B2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52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en/publication-detail/-/publication/dd28ca9b-bf8c-11f0-a612-01aa75ed71a1" TargetMode="External"/><Relationship Id="rId1" Type="http://schemas.openxmlformats.org/officeDocument/2006/relationships/hyperlink" Target="https://climate.ec.europa.eu/eu-action/eu-funding-climate-action/making-finance-flows-consistent-climate-goals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8e482-4486-47e1-8dbe-730be92e82f1" xsi:nil="true"/>
    <lcf76f155ced4ddcb4097134ff3c332f xmlns="9ded22a1-ae99-4dfb-9e83-5ac5456789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3FF47A0EDA8F4E8E0778C679E76D10" ma:contentTypeVersion="14" ma:contentTypeDescription="Kurkite naują dokumentą." ma:contentTypeScope="" ma:versionID="0f233fec0f1c9989de6ec2b22f8d784d">
  <xsd:schema xmlns:xsd="http://www.w3.org/2001/XMLSchema" xmlns:xs="http://www.w3.org/2001/XMLSchema" xmlns:p="http://schemas.microsoft.com/office/2006/metadata/properties" xmlns:ns2="9ded22a1-ae99-4dfb-9e83-5ac545678999" xmlns:ns3="a868e482-4486-47e1-8dbe-730be92e82f1" targetNamespace="http://schemas.microsoft.com/office/2006/metadata/properties" ma:root="true" ma:fieldsID="a7b5dcf22ac018bf9c698291afd16db3" ns2:_="" ns3:_="">
    <xsd:import namespace="9ded22a1-ae99-4dfb-9e83-5ac545678999"/>
    <xsd:import namespace="a868e482-4486-47e1-8dbe-730be92e8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d22a1-ae99-4dfb-9e83-5ac545678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17201a8-1781-4b98-93f5-b91078a96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8e482-4486-47e1-8dbe-730be92e8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39935d-d80b-4902-b641-7a858131e80f}" ma:internalName="TaxCatchAll" ma:showField="CatchAllData" ma:web="a868e482-4486-47e1-8dbe-730be92e8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E6D4-32CE-4378-970D-A78A1B315983}">
  <ds:schemaRefs>
    <ds:schemaRef ds:uri="http://schemas.microsoft.com/office/2006/metadata/properties"/>
    <ds:schemaRef ds:uri="http://schemas.microsoft.com/office/infopath/2007/PartnerControls"/>
    <ds:schemaRef ds:uri="a868e482-4486-47e1-8dbe-730be92e82f1"/>
    <ds:schemaRef ds:uri="9ded22a1-ae99-4dfb-9e83-5ac545678999"/>
  </ds:schemaRefs>
</ds:datastoreItem>
</file>

<file path=customXml/itemProps2.xml><?xml version="1.0" encoding="utf-8"?>
<ds:datastoreItem xmlns:ds="http://schemas.openxmlformats.org/officeDocument/2006/customXml" ds:itemID="{3319F749-82AA-4E97-BB88-4B1C0F985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28E24-125D-4A12-ABB0-EE1A2756C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d22a1-ae99-4dfb-9e83-5ac545678999"/>
    <ds:schemaRef ds:uri="a868e482-4486-47e1-8dbe-730be92e8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A4ED5-8A23-48F7-9B78-A8271436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Links>
    <vt:vector size="12" baseType="variant">
      <vt:variant>
        <vt:i4>786448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https://op.europa.eu/en/publication-detail/-/publication/dd28ca9b-bf8c-11f0-a612-01aa75ed71a1</vt:lpwstr>
      </vt:variant>
      <vt:variant>
        <vt:lpwstr/>
      </vt:variant>
      <vt:variant>
        <vt:i4>1310818</vt:i4>
      </vt:variant>
      <vt:variant>
        <vt:i4>0</vt:i4>
      </vt:variant>
      <vt:variant>
        <vt:i4>0</vt:i4>
      </vt:variant>
      <vt:variant>
        <vt:i4>5</vt:i4>
      </vt:variant>
      <vt:variant>
        <vt:lpwstr>https://climate.ec.europa.eu/eu-action/eu-funding-climate-action/making-finance-flows-consistent-climate-goals_en</vt:lpwstr>
      </vt:variant>
      <vt:variant>
        <vt:lpwstr>european-climate-law-aligned-eu-sectoral-decarbonisation-pathways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Matelytė</dc:creator>
  <cp:keywords/>
  <dc:description/>
  <cp:lastModifiedBy>Jūratė Strakšienė</cp:lastModifiedBy>
  <cp:revision>2</cp:revision>
  <dcterms:created xsi:type="dcterms:W3CDTF">2026-04-01T10:54:00Z</dcterms:created>
  <dcterms:modified xsi:type="dcterms:W3CDTF">2026-04-01T10:54:00Z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0x010100323FF47A0EDA8F4E8E0778C679E76D10</vt:lpwstr>
  </property>
  <property fmtid="{D5CDD505-2E9C-101B-9397-08002B2CF9AE}" pid="3" name="MediaServiceImageTags">
    <vt:lpwstr/>
  </property>
</Properties>
</file>