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4964410C" w:rsidR="00DC7455" w:rsidRPr="001869FF" w:rsidRDefault="00320286" w:rsidP="004F2ECB">
            <w:pPr>
              <w:jc w:val="both"/>
              <w:rPr>
                <w:rFonts w:ascii="Verdana" w:hAnsi="Verdana"/>
                <w:kern w:val="2"/>
              </w:rPr>
            </w:pPr>
            <w:r>
              <w:rPr>
                <w:rFonts w:ascii="Verdana" w:hAnsi="Verdana"/>
                <w:b/>
                <w:bCs/>
              </w:rPr>
              <w:t>Minkšti baldai</w:t>
            </w:r>
            <w:r w:rsidR="006E71D0" w:rsidRPr="00667D64">
              <w:rPr>
                <w:rFonts w:ascii="Verdana" w:hAnsi="Verdana"/>
                <w:b/>
                <w:bCs/>
              </w:rPr>
              <w:t xml:space="preserve"> </w:t>
            </w:r>
            <w:r w:rsidR="006E71D0" w:rsidRPr="00E53DA6">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Rimanto Stankevičiaus</w:t>
            </w:r>
            <w:r w:rsidR="006E71D0" w:rsidRPr="00E53DA6">
              <w:rPr>
                <w:rFonts w:ascii="Verdana" w:eastAsia="Times New Roman" w:hAnsi="Verdana" w:cs="Helvetica"/>
                <w:b/>
                <w:bCs/>
                <w:color w:val="0C0B0B"/>
                <w:lang w:eastAsia="lt-LT"/>
              </w:rPr>
              <w:t xml:space="preserve"> progimnazij</w:t>
            </w:r>
            <w:r w:rsidR="006E71D0">
              <w:rPr>
                <w:rFonts w:ascii="Verdana" w:eastAsia="Times New Roman" w:hAnsi="Verdana" w:cs="Helvetica"/>
                <w:b/>
                <w:bCs/>
                <w:color w:val="0C0B0B"/>
                <w:lang w:eastAsia="lt-LT"/>
              </w:rPr>
              <w:t xml:space="preserve">ai </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DB1E418" w:rsidR="00DC7455" w:rsidRPr="001869FF" w:rsidRDefault="00DC7455" w:rsidP="004F2ECB">
            <w:pPr>
              <w:jc w:val="both"/>
              <w:rPr>
                <w:rFonts w:ascii="Verdana" w:hAnsi="Verdana"/>
                <w:kern w:val="2"/>
              </w:rPr>
            </w:pPr>
            <w:r w:rsidRPr="001869FF">
              <w:rPr>
                <w:rFonts w:ascii="Verdana" w:hAnsi="Verdana"/>
              </w:rPr>
              <w:t>202</w:t>
            </w:r>
            <w:r w:rsidR="007C196A">
              <w:rPr>
                <w:rFonts w:ascii="Verdana" w:hAnsi="Verdana"/>
              </w:rPr>
              <w:t xml:space="preserve">6 </w:t>
            </w:r>
            <w:r w:rsidRPr="001869FF">
              <w:rPr>
                <w:rFonts w:ascii="Verdana" w:hAnsi="Verdana"/>
              </w:rPr>
              <w:t>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7455" w:rsidRPr="001869FF" w14:paraId="39E0D2FE" w14:textId="77777777" w:rsidTr="004F2ECB">
        <w:tc>
          <w:tcPr>
            <w:tcW w:w="955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4F2ECB">
        <w:tc>
          <w:tcPr>
            <w:tcW w:w="2808"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510" w:type="dxa"/>
          </w:tcPr>
          <w:p w14:paraId="1AA37675" w14:textId="28F1F27D" w:rsidR="00DC7455" w:rsidRPr="001869FF" w:rsidRDefault="00320286" w:rsidP="00320286">
            <w:pPr>
              <w:jc w:val="both"/>
              <w:rPr>
                <w:rFonts w:ascii="Verdana" w:hAnsi="Verdana"/>
                <w:kern w:val="2"/>
              </w:rPr>
            </w:pPr>
            <w:r w:rsidRPr="00E53DA6">
              <w:rPr>
                <w:rFonts w:ascii="Verdana" w:hAnsi="Verdana"/>
              </w:rPr>
              <w:t xml:space="preserve">Marijampolės </w:t>
            </w:r>
            <w:r>
              <w:rPr>
                <w:rFonts w:ascii="Verdana" w:hAnsi="Verdana"/>
              </w:rPr>
              <w:t>Rimanto Stankevičiaus</w:t>
            </w:r>
            <w:r w:rsidRPr="00E53DA6">
              <w:rPr>
                <w:rFonts w:ascii="Verdana" w:hAnsi="Verdana"/>
              </w:rPr>
              <w:t xml:space="preserve"> progimnazij</w:t>
            </w:r>
            <w:r>
              <w:rPr>
                <w:rFonts w:ascii="Verdana" w:hAnsi="Verdana"/>
              </w:rPr>
              <w:t>a</w:t>
            </w:r>
          </w:p>
        </w:tc>
      </w:tr>
      <w:tr w:rsidR="00DC7455" w:rsidRPr="001869FF" w14:paraId="5CD6A9BB" w14:textId="77777777" w:rsidTr="004F2ECB">
        <w:tc>
          <w:tcPr>
            <w:tcW w:w="2808" w:type="dxa"/>
            <w:vMerge/>
          </w:tcPr>
          <w:p w14:paraId="18BC81E0" w14:textId="77777777" w:rsidR="00DC7455" w:rsidRPr="001869FF" w:rsidRDefault="00DC7455" w:rsidP="004F2ECB">
            <w:pPr>
              <w:rPr>
                <w:rFonts w:ascii="Verdana" w:hAnsi="Verdana"/>
                <w:kern w:val="2"/>
              </w:rPr>
            </w:pPr>
          </w:p>
        </w:tc>
        <w:tc>
          <w:tcPr>
            <w:tcW w:w="3240"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510" w:type="dxa"/>
          </w:tcPr>
          <w:p w14:paraId="2F25EBE0" w14:textId="09120CE3" w:rsidR="00DC7455" w:rsidRPr="001869FF" w:rsidRDefault="00320286" w:rsidP="00320286">
            <w:pPr>
              <w:jc w:val="both"/>
              <w:rPr>
                <w:rFonts w:ascii="Verdana" w:hAnsi="Verdana"/>
                <w:kern w:val="2"/>
              </w:rPr>
            </w:pPr>
            <w:r w:rsidRPr="00527F31">
              <w:rPr>
                <w:rFonts w:ascii="Verdana" w:hAnsi="Verdana"/>
                <w:color w:val="auto"/>
              </w:rPr>
              <w:t>190452045</w:t>
            </w:r>
          </w:p>
        </w:tc>
      </w:tr>
      <w:tr w:rsidR="00DC7455" w:rsidRPr="001869FF" w14:paraId="5F320916" w14:textId="77777777" w:rsidTr="004F2ECB">
        <w:tc>
          <w:tcPr>
            <w:tcW w:w="2808" w:type="dxa"/>
            <w:vMerge/>
          </w:tcPr>
          <w:p w14:paraId="323A59B7" w14:textId="77777777" w:rsidR="00DC7455" w:rsidRPr="001869FF" w:rsidRDefault="00DC7455" w:rsidP="004F2ECB">
            <w:pPr>
              <w:rPr>
                <w:rFonts w:ascii="Verdana" w:hAnsi="Verdana"/>
                <w:kern w:val="2"/>
              </w:rPr>
            </w:pPr>
          </w:p>
        </w:tc>
        <w:tc>
          <w:tcPr>
            <w:tcW w:w="3240"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510" w:type="dxa"/>
          </w:tcPr>
          <w:p w14:paraId="5DF6C6B5" w14:textId="4DD8CA5A" w:rsidR="00DC7455" w:rsidRPr="00530454" w:rsidRDefault="00320286" w:rsidP="00320286">
            <w:pPr>
              <w:autoSpaceDN w:val="0"/>
              <w:jc w:val="both"/>
              <w:rPr>
                <w:rFonts w:ascii="Verdana" w:hAnsi="Verdana"/>
              </w:rPr>
            </w:pPr>
            <w:r w:rsidRPr="00527F31">
              <w:rPr>
                <w:rFonts w:ascii="Verdana" w:hAnsi="Verdana"/>
              </w:rPr>
              <w:t>Vasario 16-osios g. 7, 68299 Marijampolė</w:t>
            </w:r>
          </w:p>
        </w:tc>
      </w:tr>
      <w:tr w:rsidR="00DC7455" w:rsidRPr="001869FF" w14:paraId="7E1897BB" w14:textId="77777777" w:rsidTr="004F2ECB">
        <w:tc>
          <w:tcPr>
            <w:tcW w:w="2808" w:type="dxa"/>
            <w:vMerge/>
          </w:tcPr>
          <w:p w14:paraId="1D936A16" w14:textId="77777777" w:rsidR="00DC7455" w:rsidRPr="001869FF" w:rsidRDefault="00DC7455" w:rsidP="004F2ECB">
            <w:pPr>
              <w:rPr>
                <w:rFonts w:ascii="Verdana" w:hAnsi="Verdana"/>
                <w:kern w:val="2"/>
              </w:rPr>
            </w:pPr>
          </w:p>
        </w:tc>
        <w:tc>
          <w:tcPr>
            <w:tcW w:w="3240"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510" w:type="dxa"/>
          </w:tcPr>
          <w:p w14:paraId="739D8C34" w14:textId="63807617" w:rsidR="00DC7455" w:rsidRPr="001869FF" w:rsidRDefault="00DC7455" w:rsidP="004F2ECB">
            <w:pPr>
              <w:jc w:val="center"/>
              <w:rPr>
                <w:rFonts w:ascii="Verdana" w:hAnsi="Verdana"/>
                <w:kern w:val="2"/>
              </w:rPr>
            </w:pPr>
          </w:p>
        </w:tc>
      </w:tr>
      <w:tr w:rsidR="00DC7455" w:rsidRPr="001869FF" w14:paraId="52C1F4F1" w14:textId="77777777" w:rsidTr="004F2ECB">
        <w:tc>
          <w:tcPr>
            <w:tcW w:w="2808" w:type="dxa"/>
            <w:vMerge/>
          </w:tcPr>
          <w:p w14:paraId="1081D00E" w14:textId="77777777" w:rsidR="00DC7455" w:rsidRPr="001869FF" w:rsidRDefault="00DC7455" w:rsidP="004F2ECB">
            <w:pPr>
              <w:rPr>
                <w:rFonts w:ascii="Verdana" w:hAnsi="Verdana"/>
                <w:kern w:val="2"/>
              </w:rPr>
            </w:pPr>
          </w:p>
        </w:tc>
        <w:tc>
          <w:tcPr>
            <w:tcW w:w="3240"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510" w:type="dxa"/>
          </w:tcPr>
          <w:p w14:paraId="206EB928" w14:textId="523F3941" w:rsidR="00DC7455" w:rsidRPr="001869FF" w:rsidRDefault="00DC7455" w:rsidP="004F2ECB">
            <w:pPr>
              <w:jc w:val="center"/>
              <w:rPr>
                <w:rFonts w:ascii="Verdana" w:hAnsi="Verdana"/>
                <w:kern w:val="2"/>
              </w:rPr>
            </w:pPr>
          </w:p>
        </w:tc>
      </w:tr>
      <w:tr w:rsidR="00DC7455" w:rsidRPr="001869FF" w14:paraId="16B30FEA" w14:textId="77777777" w:rsidTr="004F2ECB">
        <w:tc>
          <w:tcPr>
            <w:tcW w:w="2808" w:type="dxa"/>
            <w:vMerge/>
          </w:tcPr>
          <w:p w14:paraId="75DEB157" w14:textId="77777777" w:rsidR="00DC7455" w:rsidRPr="001869FF" w:rsidRDefault="00DC7455" w:rsidP="004F2ECB">
            <w:pPr>
              <w:rPr>
                <w:rFonts w:ascii="Verdana" w:hAnsi="Verdana"/>
                <w:kern w:val="2"/>
              </w:rPr>
            </w:pPr>
          </w:p>
        </w:tc>
        <w:tc>
          <w:tcPr>
            <w:tcW w:w="3240"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510" w:type="dxa"/>
          </w:tcPr>
          <w:p w14:paraId="5488946E" w14:textId="5E8457D7" w:rsidR="00DC7455" w:rsidRPr="001869FF" w:rsidRDefault="00DC7455" w:rsidP="004F2ECB">
            <w:pPr>
              <w:jc w:val="center"/>
              <w:rPr>
                <w:rFonts w:ascii="Verdana" w:hAnsi="Verdana"/>
                <w:kern w:val="2"/>
              </w:rPr>
            </w:pPr>
          </w:p>
        </w:tc>
      </w:tr>
      <w:tr w:rsidR="00DC7455" w:rsidRPr="001869FF" w14:paraId="2521AD3A" w14:textId="77777777" w:rsidTr="004F2ECB">
        <w:tc>
          <w:tcPr>
            <w:tcW w:w="2808" w:type="dxa"/>
            <w:vMerge/>
          </w:tcPr>
          <w:p w14:paraId="6E763037" w14:textId="77777777" w:rsidR="00DC7455" w:rsidRPr="001869FF" w:rsidRDefault="00DC7455" w:rsidP="004F2ECB">
            <w:pPr>
              <w:rPr>
                <w:rFonts w:ascii="Verdana" w:hAnsi="Verdana"/>
                <w:kern w:val="2"/>
              </w:rPr>
            </w:pPr>
          </w:p>
        </w:tc>
        <w:tc>
          <w:tcPr>
            <w:tcW w:w="3240"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510" w:type="dxa"/>
          </w:tcPr>
          <w:p w14:paraId="607289EA" w14:textId="49B0B638" w:rsidR="00DC7455" w:rsidRPr="001869FF" w:rsidRDefault="00DC7455" w:rsidP="004F2ECB">
            <w:pPr>
              <w:jc w:val="center"/>
              <w:rPr>
                <w:rFonts w:ascii="Verdana" w:hAnsi="Verdana"/>
                <w:kern w:val="2"/>
              </w:rPr>
            </w:pPr>
          </w:p>
        </w:tc>
      </w:tr>
      <w:tr w:rsidR="00DC7455" w:rsidRPr="001869FF" w14:paraId="5637BBF1" w14:textId="77777777" w:rsidTr="004F2ECB">
        <w:tc>
          <w:tcPr>
            <w:tcW w:w="2808" w:type="dxa"/>
            <w:vMerge/>
          </w:tcPr>
          <w:p w14:paraId="17FF4E08" w14:textId="77777777" w:rsidR="00DC7455" w:rsidRPr="001869FF" w:rsidRDefault="00DC7455" w:rsidP="004F2ECB">
            <w:pPr>
              <w:rPr>
                <w:rFonts w:ascii="Verdana" w:hAnsi="Verdana"/>
                <w:kern w:val="2"/>
              </w:rPr>
            </w:pPr>
          </w:p>
        </w:tc>
        <w:tc>
          <w:tcPr>
            <w:tcW w:w="3240"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510" w:type="dxa"/>
          </w:tcPr>
          <w:p w14:paraId="09A33BBF" w14:textId="43F134E9" w:rsidR="00DC7455" w:rsidRPr="001869FF" w:rsidRDefault="00DC7455" w:rsidP="004F2ECB">
            <w:pPr>
              <w:jc w:val="center"/>
              <w:rPr>
                <w:rFonts w:ascii="Verdana" w:hAnsi="Verdana"/>
                <w:kern w:val="2"/>
              </w:rPr>
            </w:pPr>
          </w:p>
        </w:tc>
      </w:tr>
      <w:tr w:rsidR="00DC7455" w:rsidRPr="001869FF" w14:paraId="495708F9" w14:textId="77777777" w:rsidTr="004F2ECB">
        <w:tc>
          <w:tcPr>
            <w:tcW w:w="2808" w:type="dxa"/>
            <w:vMerge/>
          </w:tcPr>
          <w:p w14:paraId="3331F72D" w14:textId="77777777" w:rsidR="00DC7455" w:rsidRPr="001869FF" w:rsidRDefault="00DC7455" w:rsidP="004F2ECB">
            <w:pPr>
              <w:rPr>
                <w:rFonts w:ascii="Verdana" w:hAnsi="Verdana"/>
                <w:kern w:val="2"/>
              </w:rPr>
            </w:pPr>
          </w:p>
        </w:tc>
        <w:tc>
          <w:tcPr>
            <w:tcW w:w="3240"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510" w:type="dxa"/>
          </w:tcPr>
          <w:p w14:paraId="3552ECE6" w14:textId="5B468F8A" w:rsidR="00DC7455" w:rsidRPr="001869FF" w:rsidRDefault="00DC7455" w:rsidP="004F2ECB">
            <w:pPr>
              <w:jc w:val="center"/>
              <w:rPr>
                <w:rFonts w:ascii="Verdana" w:hAnsi="Verdana"/>
                <w:kern w:val="2"/>
              </w:rPr>
            </w:pPr>
          </w:p>
        </w:tc>
      </w:tr>
      <w:tr w:rsidR="00DC7455" w:rsidRPr="001869FF" w14:paraId="56D83E62" w14:textId="77777777" w:rsidTr="004F2ECB">
        <w:tc>
          <w:tcPr>
            <w:tcW w:w="2808" w:type="dxa"/>
            <w:vMerge/>
          </w:tcPr>
          <w:p w14:paraId="2B0014FF" w14:textId="77777777" w:rsidR="00DC7455" w:rsidRPr="001869FF" w:rsidRDefault="00DC7455" w:rsidP="004F2ECB">
            <w:pPr>
              <w:rPr>
                <w:rFonts w:ascii="Verdana" w:hAnsi="Verdana"/>
                <w:kern w:val="2"/>
              </w:rPr>
            </w:pPr>
          </w:p>
        </w:tc>
        <w:tc>
          <w:tcPr>
            <w:tcW w:w="3240"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510" w:type="dxa"/>
          </w:tcPr>
          <w:p w14:paraId="4AFFEA9C" w14:textId="3CFD8337" w:rsidR="00DC7455" w:rsidRPr="001869FF" w:rsidRDefault="00DC7455" w:rsidP="004F2ECB">
            <w:pPr>
              <w:jc w:val="center"/>
              <w:rPr>
                <w:rFonts w:ascii="Verdana" w:hAnsi="Verdana"/>
                <w:kern w:val="2"/>
              </w:rPr>
            </w:pPr>
          </w:p>
        </w:tc>
      </w:tr>
      <w:tr w:rsidR="00DC7455" w:rsidRPr="001869FF" w14:paraId="46CB72DF" w14:textId="77777777" w:rsidTr="004F2ECB">
        <w:tc>
          <w:tcPr>
            <w:tcW w:w="2808"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240"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4F2ECB">
        <w:tc>
          <w:tcPr>
            <w:tcW w:w="2808" w:type="dxa"/>
            <w:vMerge/>
          </w:tcPr>
          <w:p w14:paraId="0602B6F2" w14:textId="77777777" w:rsidR="00DC7455" w:rsidRPr="001869FF" w:rsidRDefault="00DC7455" w:rsidP="004F2ECB">
            <w:pPr>
              <w:rPr>
                <w:rFonts w:ascii="Verdana" w:hAnsi="Verdana"/>
                <w:b/>
                <w:bCs/>
                <w:kern w:val="2"/>
              </w:rPr>
            </w:pPr>
          </w:p>
        </w:tc>
        <w:tc>
          <w:tcPr>
            <w:tcW w:w="3240"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4F2ECB">
        <w:tc>
          <w:tcPr>
            <w:tcW w:w="2808" w:type="dxa"/>
            <w:vMerge/>
          </w:tcPr>
          <w:p w14:paraId="20F9A087" w14:textId="77777777" w:rsidR="00DC7455" w:rsidRPr="001869FF" w:rsidRDefault="00DC7455" w:rsidP="004F2ECB">
            <w:pPr>
              <w:rPr>
                <w:rFonts w:ascii="Verdana" w:hAnsi="Verdana"/>
                <w:b/>
                <w:bCs/>
                <w:kern w:val="2"/>
              </w:rPr>
            </w:pPr>
          </w:p>
        </w:tc>
        <w:tc>
          <w:tcPr>
            <w:tcW w:w="3240"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4F2ECB">
        <w:tc>
          <w:tcPr>
            <w:tcW w:w="2808" w:type="dxa"/>
            <w:vMerge/>
          </w:tcPr>
          <w:p w14:paraId="703D9DB0" w14:textId="77777777" w:rsidR="00DC7455" w:rsidRPr="001869FF" w:rsidRDefault="00DC7455" w:rsidP="004F2ECB">
            <w:pPr>
              <w:rPr>
                <w:rFonts w:ascii="Verdana" w:hAnsi="Verdana"/>
                <w:b/>
                <w:bCs/>
                <w:kern w:val="2"/>
              </w:rPr>
            </w:pPr>
          </w:p>
        </w:tc>
        <w:tc>
          <w:tcPr>
            <w:tcW w:w="3240"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4F2ECB">
        <w:tc>
          <w:tcPr>
            <w:tcW w:w="2808" w:type="dxa"/>
            <w:vMerge/>
          </w:tcPr>
          <w:p w14:paraId="5A106B42" w14:textId="77777777" w:rsidR="00DC7455" w:rsidRPr="001869FF" w:rsidRDefault="00DC7455" w:rsidP="004F2ECB">
            <w:pPr>
              <w:rPr>
                <w:rFonts w:ascii="Verdana" w:hAnsi="Verdana"/>
                <w:b/>
                <w:bCs/>
                <w:kern w:val="2"/>
              </w:rPr>
            </w:pPr>
          </w:p>
        </w:tc>
        <w:tc>
          <w:tcPr>
            <w:tcW w:w="3240"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4F2ECB">
        <w:tc>
          <w:tcPr>
            <w:tcW w:w="2808" w:type="dxa"/>
            <w:vMerge/>
          </w:tcPr>
          <w:p w14:paraId="4A1B51CB" w14:textId="77777777" w:rsidR="00DC7455" w:rsidRPr="001869FF" w:rsidRDefault="00DC7455" w:rsidP="004F2ECB">
            <w:pPr>
              <w:rPr>
                <w:rFonts w:ascii="Verdana" w:hAnsi="Verdana"/>
                <w:b/>
                <w:bCs/>
                <w:kern w:val="2"/>
              </w:rPr>
            </w:pPr>
          </w:p>
        </w:tc>
        <w:tc>
          <w:tcPr>
            <w:tcW w:w="3240"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4F2ECB">
        <w:tc>
          <w:tcPr>
            <w:tcW w:w="2808" w:type="dxa"/>
            <w:vMerge/>
          </w:tcPr>
          <w:p w14:paraId="139B9E10" w14:textId="77777777" w:rsidR="00DC7455" w:rsidRPr="001869FF" w:rsidRDefault="00DC7455" w:rsidP="004F2ECB">
            <w:pPr>
              <w:rPr>
                <w:rFonts w:ascii="Verdana" w:hAnsi="Verdana"/>
                <w:b/>
                <w:bCs/>
                <w:kern w:val="2"/>
              </w:rPr>
            </w:pPr>
          </w:p>
        </w:tc>
        <w:tc>
          <w:tcPr>
            <w:tcW w:w="3240"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4F2ECB">
        <w:tc>
          <w:tcPr>
            <w:tcW w:w="2808" w:type="dxa"/>
            <w:vMerge/>
          </w:tcPr>
          <w:p w14:paraId="78A67168" w14:textId="77777777" w:rsidR="00DC7455" w:rsidRPr="001869FF" w:rsidRDefault="00DC7455" w:rsidP="004F2ECB">
            <w:pPr>
              <w:rPr>
                <w:rFonts w:ascii="Verdana" w:hAnsi="Verdana"/>
                <w:b/>
                <w:bCs/>
                <w:kern w:val="2"/>
              </w:rPr>
            </w:pPr>
          </w:p>
        </w:tc>
        <w:tc>
          <w:tcPr>
            <w:tcW w:w="3240"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4F2ECB">
        <w:tc>
          <w:tcPr>
            <w:tcW w:w="2808" w:type="dxa"/>
            <w:vMerge/>
          </w:tcPr>
          <w:p w14:paraId="08EDAAAF" w14:textId="77777777" w:rsidR="00DC7455" w:rsidRPr="001869FF" w:rsidRDefault="00DC7455" w:rsidP="004F2ECB">
            <w:pPr>
              <w:rPr>
                <w:rFonts w:ascii="Verdana" w:hAnsi="Verdana"/>
                <w:b/>
                <w:bCs/>
                <w:kern w:val="2"/>
              </w:rPr>
            </w:pPr>
          </w:p>
        </w:tc>
        <w:tc>
          <w:tcPr>
            <w:tcW w:w="3240"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4F2ECB">
        <w:tc>
          <w:tcPr>
            <w:tcW w:w="2808" w:type="dxa"/>
            <w:vMerge/>
          </w:tcPr>
          <w:p w14:paraId="40BAA3EC" w14:textId="77777777" w:rsidR="00DC7455" w:rsidRPr="001869FF" w:rsidRDefault="00DC7455" w:rsidP="004F2ECB">
            <w:pPr>
              <w:rPr>
                <w:rFonts w:ascii="Verdana" w:hAnsi="Verdana"/>
                <w:b/>
                <w:bCs/>
                <w:kern w:val="2"/>
              </w:rPr>
            </w:pPr>
          </w:p>
        </w:tc>
        <w:tc>
          <w:tcPr>
            <w:tcW w:w="3240"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vykdymą, Prekių priėmimą, Sąskaitų per informacinę </w:t>
            </w:r>
            <w:r w:rsidRPr="001869FF">
              <w:rPr>
                <w:rFonts w:ascii="Verdana" w:hAnsi="Verdana"/>
                <w:b/>
                <w:bCs/>
                <w:kern w:val="2"/>
              </w:rPr>
              <w:lastRenderedPageBreak/>
              <w:t>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45F208AF" w14:textId="69E94D86" w:rsidR="00DC7455" w:rsidRPr="00320286" w:rsidRDefault="00445F85" w:rsidP="004F2ECB">
            <w:pPr>
              <w:pStyle w:val="Sraopastraipa"/>
              <w:tabs>
                <w:tab w:val="left" w:pos="0"/>
                <w:tab w:val="left" w:pos="360"/>
              </w:tabs>
              <w:suppressAutoHyphens/>
              <w:ind w:left="0"/>
              <w:jc w:val="both"/>
              <w:rPr>
                <w:rFonts w:ascii="Verdana" w:hAnsi="Verdana"/>
              </w:rPr>
            </w:pPr>
            <w:r w:rsidRPr="00E53DA6">
              <w:rPr>
                <w:rFonts w:ascii="Verdana" w:hAnsi="Verdana"/>
              </w:rPr>
              <w:lastRenderedPageBreak/>
              <w:t xml:space="preserve">Marijampolės </w:t>
            </w:r>
            <w:r w:rsidR="00320286">
              <w:rPr>
                <w:rFonts w:ascii="Verdana" w:hAnsi="Verdana"/>
              </w:rPr>
              <w:t>Rimanto Stankevičiaus</w:t>
            </w:r>
            <w:r w:rsidRPr="00E53DA6">
              <w:rPr>
                <w:rFonts w:ascii="Verdana" w:hAnsi="Verdana"/>
              </w:rPr>
              <w:t xml:space="preserve"> progimnazijos </w:t>
            </w:r>
            <w:r w:rsidR="007C196A">
              <w:rPr>
                <w:rFonts w:ascii="Verdana" w:hAnsi="Verdana"/>
              </w:rPr>
              <w:t>d</w:t>
            </w:r>
            <w:r w:rsidRPr="00E53DA6">
              <w:rPr>
                <w:rFonts w:ascii="Verdana" w:hAnsi="Verdana"/>
              </w:rPr>
              <w:t>irektoriaus pavaduotoja ūki</w:t>
            </w:r>
            <w:r w:rsidR="00320286">
              <w:rPr>
                <w:rFonts w:ascii="Verdana" w:hAnsi="Verdana"/>
              </w:rPr>
              <w:t>ui Ingrida</w:t>
            </w:r>
            <w:r w:rsidR="00320286" w:rsidRPr="00527F31">
              <w:rPr>
                <w:rFonts w:ascii="Verdana" w:hAnsi="Verdana"/>
              </w:rPr>
              <w:t xml:space="preserve"> </w:t>
            </w:r>
            <w:proofErr w:type="spellStart"/>
            <w:r w:rsidR="00320286" w:rsidRPr="00527F31">
              <w:rPr>
                <w:rFonts w:ascii="Verdana" w:hAnsi="Verdana"/>
              </w:rPr>
              <w:t>Kidolienė</w:t>
            </w:r>
            <w:proofErr w:type="spellEnd"/>
            <w:r w:rsidR="00320286">
              <w:rPr>
                <w:rFonts w:ascii="Verdana" w:hAnsi="Verdana"/>
              </w:rPr>
              <w:t>,</w:t>
            </w:r>
            <w:r w:rsidRPr="00E53DA6">
              <w:rPr>
                <w:rFonts w:ascii="Verdana" w:hAnsi="Verdana"/>
              </w:rPr>
              <w:t xml:space="preserve"> tel. </w:t>
            </w:r>
            <w:r w:rsidR="00320286" w:rsidRPr="00527F31">
              <w:rPr>
                <w:rFonts w:ascii="Verdana" w:hAnsi="Verdana"/>
                <w:shd w:val="clear" w:color="auto" w:fill="FFFFFF"/>
              </w:rPr>
              <w:t>+37065034136</w:t>
            </w:r>
            <w:r w:rsidRPr="00E53DA6">
              <w:rPr>
                <w:rFonts w:ascii="Verdana" w:hAnsi="Verdana"/>
              </w:rPr>
              <w:t>, el. paštas</w:t>
            </w:r>
            <w:r w:rsidR="007C196A">
              <w:rPr>
                <w:rFonts w:ascii="Verdana" w:hAnsi="Verdana"/>
              </w:rPr>
              <w:t xml:space="preserve"> </w:t>
            </w:r>
            <w:hyperlink r:id="rId8" w:history="1">
              <w:r w:rsidR="00320286" w:rsidRPr="00527F31">
                <w:rPr>
                  <w:rStyle w:val="Hipersaitas"/>
                  <w:rFonts w:ascii="Verdana" w:hAnsi="Verdana"/>
                </w:rPr>
                <w:t>ukioreikaluskyrius@gmail.com</w:t>
              </w:r>
            </w:hyperlink>
          </w:p>
          <w:p w14:paraId="5E0E5808" w14:textId="36B3E2B5" w:rsidR="007C196A" w:rsidRPr="00320286" w:rsidRDefault="007C196A" w:rsidP="004F2ECB">
            <w:pPr>
              <w:pStyle w:val="Sraopastraipa"/>
              <w:tabs>
                <w:tab w:val="left" w:pos="0"/>
                <w:tab w:val="left" w:pos="360"/>
              </w:tabs>
              <w:suppressAutoHyphens/>
              <w:ind w:left="0"/>
              <w:jc w:val="both"/>
              <w:rPr>
                <w:rFonts w:ascii="Verdana" w:hAnsi="Verdana"/>
                <w:shd w:val="clear" w:color="auto" w:fill="FFFFFF"/>
              </w:rPr>
            </w:pP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320286">
        <w:trPr>
          <w:trHeight w:val="2088"/>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21E4F2D0"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320286">
              <w:rPr>
                <w:rFonts w:ascii="Verdana" w:hAnsi="Verdana"/>
              </w:rPr>
              <w:t>minkštus baldus su sumontavimu (surinkimu)</w:t>
            </w:r>
            <w:r w:rsidR="008A41C5">
              <w:rPr>
                <w:rFonts w:ascii="Verdana" w:hAnsi="Verdana"/>
              </w:rPr>
              <w:t xml:space="preserve">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37A24286" w:rsidR="00DC7455" w:rsidRPr="001869FF" w:rsidRDefault="00320286" w:rsidP="004F2ECB">
            <w:pPr>
              <w:jc w:val="both"/>
              <w:rPr>
                <w:rFonts w:ascii="Verdana" w:hAnsi="Verdana"/>
                <w:kern w:val="2"/>
              </w:rPr>
            </w:pPr>
            <w:r>
              <w:rPr>
                <w:rFonts w:ascii="Verdana" w:hAnsi="Verdana"/>
                <w:b/>
                <w:bCs/>
              </w:rPr>
              <w:t>Minkšti baldai</w:t>
            </w:r>
            <w:r w:rsidR="00412F18">
              <w:rPr>
                <w:rFonts w:ascii="Verdana" w:hAnsi="Verdana"/>
              </w:rPr>
              <w:t xml:space="preserve"> </w:t>
            </w:r>
            <w:r w:rsidR="00412F18" w:rsidRPr="00E53DA6">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Rimanto Stankevičiaus</w:t>
            </w:r>
            <w:r w:rsidR="00412F18" w:rsidRPr="00E53DA6">
              <w:rPr>
                <w:rFonts w:ascii="Verdana" w:eastAsia="Times New Roman" w:hAnsi="Verdana" w:cs="Helvetica"/>
                <w:b/>
                <w:bCs/>
                <w:color w:val="0C0B0B"/>
                <w:lang w:eastAsia="lt-LT"/>
              </w:rPr>
              <w:t xml:space="preserve"> progimnazij</w:t>
            </w:r>
            <w:r w:rsidR="00412F18">
              <w:rPr>
                <w:rFonts w:ascii="Verdana" w:eastAsia="Times New Roman" w:hAnsi="Verdana" w:cs="Helvetica"/>
                <w:b/>
                <w:bCs/>
                <w:color w:val="0C0B0B"/>
                <w:lang w:eastAsia="lt-LT"/>
              </w:rPr>
              <w:t>ai</w:t>
            </w:r>
            <w:r w:rsidR="00445F85" w:rsidRPr="00445F85">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pirkimo Nr.</w:t>
            </w:r>
            <w:r w:rsidR="00412F18" w:rsidRPr="00412F18">
              <w:rPr>
                <w:rFonts w:ascii="Verdana" w:hAnsi="Verdana"/>
                <w:color w:val="4C94D8" w:themeColor="text2" w:themeTint="80"/>
                <w:kern w:val="2"/>
              </w:rPr>
              <w:t xml:space="preserve"> XXX</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4F2ECB">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3A187428" w:rsidR="00DC7455" w:rsidRPr="001869FF" w:rsidRDefault="00320286" w:rsidP="00320286">
            <w:pPr>
              <w:jc w:val="both"/>
              <w:rPr>
                <w:rFonts w:ascii="Verdana" w:hAnsi="Verdana"/>
                <w:kern w:val="2"/>
              </w:rPr>
            </w:pPr>
            <w:r w:rsidRPr="00320286">
              <w:rPr>
                <w:rFonts w:ascii="Verdana" w:hAnsi="Verdana"/>
                <w:kern w:val="2"/>
              </w:rPr>
              <w:t>„Visos dienos mokyklos erdvių sukūrimas</w:t>
            </w:r>
            <w:r>
              <w:rPr>
                <w:rFonts w:ascii="Verdana" w:hAnsi="Verdana"/>
                <w:kern w:val="2"/>
              </w:rPr>
              <w:t xml:space="preserve"> </w:t>
            </w:r>
            <w:r w:rsidRPr="00320286">
              <w:rPr>
                <w:rFonts w:ascii="Verdana" w:hAnsi="Verdana"/>
                <w:kern w:val="2"/>
              </w:rPr>
              <w:t>ir pritaikymas Marijampolės savivaldybės pradinio ir pagrindinio ugdymo</w:t>
            </w:r>
            <w:r>
              <w:rPr>
                <w:rFonts w:ascii="Verdana" w:hAnsi="Verdana"/>
                <w:kern w:val="2"/>
              </w:rPr>
              <w:t xml:space="preserve"> </w:t>
            </w:r>
            <w:r w:rsidRPr="00320286">
              <w:rPr>
                <w:rFonts w:ascii="Verdana" w:hAnsi="Verdana"/>
                <w:kern w:val="2"/>
              </w:rPr>
              <w:t>įstaigose“, projekto kodas Nr. 24-002-P-0001.</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4ADC48DB" w:rsidR="00DC7455" w:rsidRPr="001869FF" w:rsidRDefault="00931A3E" w:rsidP="004F2ECB">
            <w:pPr>
              <w:rPr>
                <w:rFonts w:ascii="Verdana" w:hAnsi="Verdana"/>
                <w:b/>
                <w:bCs/>
                <w:kern w:val="2"/>
              </w:rPr>
            </w:pPr>
            <w:r w:rsidRPr="006E1949">
              <w:rPr>
                <w:rFonts w:ascii="Verdana" w:hAnsi="Verdana"/>
                <w:b/>
                <w:bCs/>
                <w:kern w:val="2"/>
              </w:rPr>
              <w:t xml:space="preserve">4.1. Prekių pristatymo terminai, kai Prekės pristatomos </w:t>
            </w:r>
            <w:r w:rsidR="00417A1E">
              <w:rPr>
                <w:rFonts w:ascii="Verdana" w:hAnsi="Verdana"/>
                <w:b/>
                <w:bCs/>
                <w:kern w:val="2"/>
              </w:rPr>
              <w:t>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776B252D" w:rsidR="00931A3E" w:rsidRPr="00445F85" w:rsidRDefault="00931A3E" w:rsidP="00445F85">
            <w:pPr>
              <w:jc w:val="both"/>
              <w:rPr>
                <w:rFonts w:ascii="Verdana" w:hAnsi="Verdana"/>
                <w:color w:val="000000"/>
                <w:kern w:val="2"/>
              </w:rPr>
            </w:pPr>
            <w:r w:rsidRPr="006E1949">
              <w:rPr>
                <w:rFonts w:ascii="Verdana" w:hAnsi="Verdana"/>
                <w:color w:val="000000"/>
                <w:kern w:val="2"/>
              </w:rPr>
              <w:t>Tiekėjas įsipareigoja pristatyti</w:t>
            </w:r>
            <w:r>
              <w:rPr>
                <w:rFonts w:ascii="Verdana" w:hAnsi="Verdana"/>
                <w:color w:val="000000"/>
                <w:kern w:val="2"/>
              </w:rPr>
              <w:t xml:space="preserve"> ir sumontuoti</w:t>
            </w:r>
            <w:r w:rsidR="00320286">
              <w:rPr>
                <w:rFonts w:ascii="Verdana" w:hAnsi="Verdana"/>
                <w:color w:val="000000"/>
                <w:kern w:val="2"/>
              </w:rPr>
              <w:t xml:space="preserve"> (surinkti)</w:t>
            </w:r>
            <w:r w:rsidRPr="006E1949">
              <w:rPr>
                <w:rFonts w:ascii="Verdana" w:hAnsi="Verdana"/>
                <w:color w:val="000000"/>
                <w:kern w:val="2"/>
              </w:rPr>
              <w:t xml:space="preserve"> Prekes</w:t>
            </w:r>
            <w:r>
              <w:rPr>
                <w:rFonts w:ascii="Verdana" w:hAnsi="Verdana"/>
                <w:color w:val="000000"/>
                <w:kern w:val="2"/>
              </w:rPr>
              <w:t xml:space="preserve"> </w:t>
            </w:r>
            <w:r w:rsidRPr="001869FF">
              <w:rPr>
                <w:rFonts w:ascii="Verdana" w:hAnsi="Verdana"/>
                <w:b/>
                <w:bCs/>
                <w:kern w:val="2"/>
              </w:rPr>
              <w:t xml:space="preserve">ne vėliau </w:t>
            </w:r>
            <w:r w:rsidR="00320286" w:rsidRPr="00E036A6">
              <w:rPr>
                <w:rFonts w:ascii="Verdana" w:hAnsi="Verdana"/>
                <w:b/>
                <w:bCs/>
              </w:rPr>
              <w:t>kaip iki 2026 m. rugpjūčio 7 d.</w:t>
            </w:r>
            <w:r w:rsidR="00320286" w:rsidRPr="00527F31">
              <w:rPr>
                <w:rFonts w:ascii="Verdana" w:hAnsi="Verdana"/>
              </w:rPr>
              <w:t xml:space="preserve"> </w:t>
            </w:r>
            <w:r w:rsidRPr="001869FF">
              <w:rPr>
                <w:rFonts w:ascii="Verdana" w:hAnsi="Verdana"/>
                <w:color w:val="000000"/>
                <w:kern w:val="2"/>
              </w:rPr>
              <w:t>nuo Sutarties įsigaliojimo dienos</w:t>
            </w:r>
            <w:r w:rsidR="00412F18">
              <w:rPr>
                <w:rFonts w:ascii="Verdana" w:hAnsi="Verdana"/>
                <w:color w:val="000000"/>
                <w:kern w:val="2"/>
              </w:rPr>
              <w:t xml:space="preserve"> </w:t>
            </w:r>
            <w:r w:rsidR="00445F85">
              <w:rPr>
                <w:rFonts w:ascii="Verdana" w:hAnsi="Verdana"/>
                <w:color w:val="000000"/>
                <w:kern w:val="2"/>
              </w:rPr>
              <w:t>šiuo adresu:</w:t>
            </w:r>
            <w:r>
              <w:rPr>
                <w:rFonts w:ascii="Verdana" w:hAnsi="Verdana"/>
                <w:color w:val="000000"/>
                <w:kern w:val="2"/>
              </w:rPr>
              <w:t xml:space="preserve"> </w:t>
            </w:r>
            <w:r w:rsidR="00412F18">
              <w:rPr>
                <w:rFonts w:ascii="Verdana" w:hAnsi="Verdana"/>
              </w:rPr>
              <w:t xml:space="preserve">Marijampolės </w:t>
            </w:r>
            <w:r w:rsidR="00320286">
              <w:rPr>
                <w:rFonts w:ascii="Verdana" w:hAnsi="Verdana"/>
              </w:rPr>
              <w:t>Rimanto Stankevičiaus</w:t>
            </w:r>
            <w:r w:rsidR="00412F18">
              <w:rPr>
                <w:rFonts w:ascii="Verdana" w:hAnsi="Verdana"/>
              </w:rPr>
              <w:t xml:space="preserve"> progimnazija, </w:t>
            </w:r>
            <w:r w:rsidR="00320286" w:rsidRPr="00527F31">
              <w:rPr>
                <w:rFonts w:ascii="Verdana" w:hAnsi="Verdana"/>
              </w:rPr>
              <w:t>Vasario 16-osios g. 7, 68299 Marijampolė</w:t>
            </w:r>
            <w:r w:rsidR="00320286">
              <w:rPr>
                <w:rFonts w:ascii="Verdana" w:hAnsi="Verdana"/>
              </w:rPr>
              <w:t>.</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6B4B7DA4"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78D86279" w14:textId="77777777" w:rsidR="00DA1D52" w:rsidRDefault="00DA1D52" w:rsidP="00DA1D52">
            <w:pPr>
              <w:jc w:val="both"/>
              <w:rPr>
                <w:rFonts w:ascii="Verdana" w:hAnsi="Verdana"/>
                <w:kern w:val="2"/>
              </w:rPr>
            </w:pPr>
            <w:r w:rsidRPr="00DA1D52">
              <w:rPr>
                <w:rFonts w:ascii="Verdana" w:hAnsi="Verdana"/>
                <w:kern w:val="2"/>
              </w:rPr>
              <w:t>Kartu su Prekėmis pateikiami šie dokumentai:</w:t>
            </w:r>
          </w:p>
          <w:p w14:paraId="7A713ED0" w14:textId="75CC394E" w:rsidR="00DA1D52" w:rsidRDefault="003727C5" w:rsidP="00DA1D52">
            <w:pPr>
              <w:jc w:val="both"/>
              <w:rPr>
                <w:rFonts w:ascii="Verdana" w:hAnsi="Verdana"/>
                <w:kern w:val="2"/>
              </w:rPr>
            </w:pPr>
            <w:r>
              <w:rPr>
                <w:rFonts w:ascii="Verdana" w:hAnsi="Verdana"/>
                <w:kern w:val="2"/>
              </w:rPr>
              <w:t>4.5.</w:t>
            </w:r>
            <w:r w:rsidR="00DA1D52">
              <w:rPr>
                <w:rFonts w:ascii="Verdana" w:hAnsi="Verdana"/>
                <w:kern w:val="2"/>
              </w:rPr>
              <w:t>1.</w:t>
            </w:r>
            <w:r w:rsidR="00DA1D52" w:rsidRPr="00DA1D52">
              <w:rPr>
                <w:rFonts w:ascii="Verdana" w:hAnsi="Verdana"/>
                <w:kern w:val="2"/>
              </w:rPr>
              <w:t>Tiekėjas kartu su Prekėmis turi pateikti Pirkėjui naudojimo ir priežiūros instrukcijas lietuvių kalba, kuriose būtų detaliai aprašyta, kaip naudoti, prižiūrėti, reguliuoti ir taisyti Prekes ar jų dalis.</w:t>
            </w:r>
          </w:p>
          <w:p w14:paraId="7DAD76B7" w14:textId="77F78E80" w:rsidR="00DA1D52" w:rsidRPr="00DA1D52" w:rsidRDefault="003727C5" w:rsidP="00DA1D52">
            <w:pPr>
              <w:jc w:val="both"/>
              <w:rPr>
                <w:rFonts w:ascii="Verdana" w:hAnsi="Verdana"/>
                <w:kern w:val="2"/>
              </w:rPr>
            </w:pPr>
            <w:r>
              <w:rPr>
                <w:rFonts w:ascii="Verdana" w:hAnsi="Verdana"/>
                <w:kern w:val="2"/>
              </w:rPr>
              <w:t>4.5.</w:t>
            </w:r>
            <w:r w:rsidR="00DA1D52">
              <w:rPr>
                <w:rFonts w:ascii="Verdana" w:hAnsi="Verdana"/>
                <w:kern w:val="2"/>
              </w:rPr>
              <w:t xml:space="preserve">2. </w:t>
            </w:r>
            <w:r w:rsidR="00DA1D52" w:rsidRPr="00DA1D52">
              <w:rPr>
                <w:rFonts w:ascii="Verdana" w:hAnsi="Verdana"/>
                <w:kern w:val="2"/>
              </w:rPr>
              <w:t xml:space="preserve">Prekių perdavimas ir priėmimas įforminamas Prekių perdavimo–priėmimo aktu ar kitu dokumentu (pvz. sąskaita faktūra) (toliau – Sąskaita), kuris pasirašomas Tiekėjo ir Pirkėjo įgaliotų atstovų, jeigu prekės su visais jų </w:t>
            </w:r>
            <w:r w:rsidR="00DA1D52" w:rsidRPr="00DA1D52">
              <w:rPr>
                <w:rFonts w:ascii="Verdana" w:hAnsi="Verdana"/>
                <w:kern w:val="2"/>
              </w:rPr>
              <w:lastRenderedPageBreak/>
              <w:t>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B9D8DA2"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452203">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lastRenderedPageBreak/>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064CD7"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064CD7" w:rsidRPr="001869FF" w:rsidRDefault="00064CD7" w:rsidP="00064CD7">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68572933" w:rsidR="00064CD7" w:rsidRPr="001869FF" w:rsidRDefault="00E6795F" w:rsidP="00064CD7">
            <w:pPr>
              <w:jc w:val="both"/>
              <w:rPr>
                <w:rFonts w:ascii="Verdana" w:hAnsi="Verdana"/>
                <w:kern w:val="2"/>
              </w:rPr>
            </w:pPr>
            <w:r>
              <w:rPr>
                <w:rFonts w:ascii="Verdana" w:eastAsia="Times New Roman" w:hAnsi="Verdana"/>
                <w:kern w:val="2"/>
              </w:rPr>
              <w:t xml:space="preserve">Prekėms nustatomas teisės aktuose nustatytas garantinis terminas, kuris yra </w:t>
            </w:r>
            <w:r w:rsidR="00064CD7" w:rsidRPr="00E174F8">
              <w:rPr>
                <w:rFonts w:ascii="Verdana" w:eastAsia="Times New Roman" w:hAnsi="Verdana"/>
                <w:kern w:val="2"/>
              </w:rPr>
              <w:t>2 met</w:t>
            </w:r>
            <w:r>
              <w:rPr>
                <w:rFonts w:ascii="Verdana" w:eastAsia="Times New Roman" w:hAnsi="Verdana"/>
                <w:kern w:val="2"/>
              </w:rPr>
              <w:t>ai. Garantinis terminas skaičiuojamas nuo Prekių perdavimo – priėmimo akto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7A68521A"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E6795F">
              <w:rPr>
                <w:rFonts w:ascii="Verdana" w:hAnsi="Verdana"/>
              </w:rPr>
              <w:t xml:space="preserve">Prekių trūkumų, Tiekėjas turi ne vėliau kaip per </w:t>
            </w:r>
            <w:r w:rsidR="00E6795F">
              <w:rPr>
                <w:rFonts w:ascii="Verdana" w:hAnsi="Verdana"/>
              </w:rPr>
              <w:t xml:space="preserve">30 </w:t>
            </w:r>
            <w:r w:rsidR="00B20003" w:rsidRPr="00E6795F">
              <w:rPr>
                <w:rFonts w:ascii="Verdana" w:hAnsi="Verdana"/>
              </w:rPr>
              <w:t xml:space="preserve"> kalendorinių </w:t>
            </w:r>
            <w:r w:rsidRPr="00E6795F">
              <w:rPr>
                <w:rFonts w:ascii="Verdana" w:hAnsi="Verdana"/>
              </w:rPr>
              <w:t>dien</w:t>
            </w:r>
            <w:r w:rsidR="006846D7" w:rsidRPr="00E6795F">
              <w:rPr>
                <w:rFonts w:ascii="Verdana" w:hAnsi="Verdana"/>
              </w:rPr>
              <w:t>ų</w:t>
            </w:r>
            <w:r w:rsidRPr="00E6795F">
              <w:rPr>
                <w:rFonts w:ascii="Verdana" w:hAnsi="Verdana"/>
              </w:rPr>
              <w:t xml:space="preserve"> </w:t>
            </w:r>
            <w:r w:rsidRPr="001869FF">
              <w:rPr>
                <w:rFonts w:ascii="Verdana" w:hAnsi="Verdana"/>
              </w:rPr>
              <w:t>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5ADA666A" w:rsidR="00DC7455" w:rsidRPr="00F41563" w:rsidRDefault="00DC7455" w:rsidP="004F2ECB">
            <w:pPr>
              <w:jc w:val="both"/>
              <w:rPr>
                <w:rFonts w:ascii="Verdana" w:hAnsi="Verdana"/>
                <w:kern w:val="2"/>
              </w:rPr>
            </w:pPr>
            <w:r w:rsidRPr="001869FF">
              <w:rPr>
                <w:rFonts w:ascii="Verdana" w:hAnsi="Verdana"/>
                <w:kern w:val="2"/>
              </w:rPr>
              <w:t>Netesybomis (delspinigiais, bauda)</w:t>
            </w:r>
            <w:r w:rsidR="00F41563">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1E23926"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E7A8342"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lastRenderedPageBreak/>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 xml:space="preserve">9.5. Tiekėjui taikomos baudos dėl </w:t>
            </w:r>
            <w:r w:rsidRPr="001869FF">
              <w:rPr>
                <w:rFonts w:ascii="Verdana" w:hAnsi="Verdana"/>
                <w:b/>
                <w:bCs/>
                <w:kern w:val="2"/>
              </w:rPr>
              <w:lastRenderedPageBreak/>
              <w:t>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1EC50364" w14:textId="77777777" w:rsidR="00DA1D52" w:rsidRPr="00DA1D52" w:rsidRDefault="00DA1D52" w:rsidP="00DA1D52">
            <w:pPr>
              <w:jc w:val="both"/>
              <w:rPr>
                <w:rFonts w:ascii="Verdana" w:hAnsi="Verdana"/>
                <w:kern w:val="2"/>
              </w:rPr>
            </w:pPr>
            <w:r w:rsidRPr="00DA1D52">
              <w:rPr>
                <w:rFonts w:ascii="Verdana" w:hAnsi="Verdana"/>
                <w:kern w:val="2"/>
              </w:rPr>
              <w:lastRenderedPageBreak/>
              <w:t xml:space="preserve">100,00 Eur (vienas šimtas eurų, 00 ct) už kiekvieną nepagrįstą atitiktį Tiekėjui nepateikiant atitiktį </w:t>
            </w:r>
            <w:r w:rsidRPr="00DA1D52">
              <w:rPr>
                <w:rFonts w:ascii="Verdana" w:hAnsi="Verdana"/>
                <w:kern w:val="2"/>
              </w:rPr>
              <w:lastRenderedPageBreak/>
              <w:t>įrodančių dokumentų arba kitų lygiaverčių įrodymų pagal Sutarties 3 priede „Aplinkosauginiai reikalavimai“ nustatytus reikalavimus.</w:t>
            </w:r>
          </w:p>
          <w:p w14:paraId="1FC37484" w14:textId="77777777" w:rsidR="00DC7455" w:rsidRPr="001869FF" w:rsidRDefault="00DC7455" w:rsidP="004F2ECB">
            <w:pPr>
              <w:jc w:val="both"/>
              <w:rPr>
                <w:rFonts w:ascii="Verdana" w:hAnsi="Verdana"/>
                <w:color w:val="4472C4"/>
                <w:kern w:val="2"/>
              </w:rPr>
            </w:pPr>
          </w:p>
          <w:p w14:paraId="2859A25A" w14:textId="77777777" w:rsidR="00DC7455" w:rsidRPr="001869FF" w:rsidRDefault="00DC7455" w:rsidP="004F2ECB">
            <w:pPr>
              <w:jc w:val="both"/>
              <w:rPr>
                <w:rFonts w:ascii="Verdana" w:hAnsi="Verdana"/>
                <w:color w:val="4472C4"/>
                <w:kern w:val="2"/>
              </w:rPr>
            </w:pPr>
            <w:r w:rsidRPr="001869FF">
              <w:rPr>
                <w:rFonts w:ascii="Verdana" w:hAnsi="Verdana"/>
                <w:kern w:val="2"/>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rPr>
              <w:t xml:space="preserve"> </w:t>
            </w:r>
            <w:r w:rsidRPr="001869FF">
              <w:rPr>
                <w:rFonts w:ascii="Verdana" w:hAnsi="Verdana"/>
                <w:b/>
                <w:bCs/>
                <w:kern w:val="2"/>
              </w:rPr>
              <w:t>(1 medis = 2 Eur)</w:t>
            </w:r>
            <w:r w:rsidRPr="001869FF">
              <w:rPr>
                <w:rFonts w:ascii="Verdana" w:hAnsi="Verdana"/>
                <w:kern w:val="2"/>
              </w:rPr>
              <w:t xml:space="preserve"> ir Pirkėjui pateikti tai įrodančius dokumentus.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lastRenderedPageBreak/>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216D0B14" w:rsidR="00DC7455" w:rsidRPr="001869FF" w:rsidRDefault="00F41563" w:rsidP="004F2ECB">
            <w:pPr>
              <w:jc w:val="both"/>
              <w:rPr>
                <w:rFonts w:ascii="Verdana" w:hAnsi="Verdana"/>
                <w:color w:val="4472C4"/>
                <w:kern w:val="2"/>
              </w:rPr>
            </w:pPr>
            <w:r>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 xml:space="preserve">9.7. Tiekėjui taikomos netesybos dėl pirkimo dokumentuose nustatytų Kokybinių kriterijų </w:t>
            </w:r>
            <w:proofErr w:type="spellStart"/>
            <w:r w:rsidRPr="001869FF">
              <w:rPr>
                <w:rFonts w:ascii="Verdana" w:hAnsi="Verdana"/>
                <w:b/>
                <w:bCs/>
                <w:kern w:val="2"/>
              </w:rPr>
              <w:t>nepasiekimo</w:t>
            </w:r>
            <w:proofErr w:type="spellEnd"/>
            <w:r w:rsidRPr="001869FF">
              <w:rPr>
                <w:rFonts w:ascii="Verdana" w:hAnsi="Verdana"/>
                <w:b/>
                <w:bCs/>
                <w:kern w:val="2"/>
              </w:rPr>
              <w:t xml:space="preserve">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6C3B024A" w14:textId="7E8CEECA" w:rsidR="00DC7455" w:rsidRPr="001869FF" w:rsidRDefault="00DC7455" w:rsidP="004F2ECB">
            <w:pPr>
              <w:jc w:val="both"/>
              <w:rPr>
                <w:rFonts w:ascii="Verdana" w:hAnsi="Verdana"/>
                <w:b/>
                <w:bCs/>
                <w:color w:val="4472C4"/>
                <w:kern w:val="2"/>
              </w:rPr>
            </w:pPr>
            <w:r w:rsidRPr="001869FF">
              <w:rPr>
                <w:rFonts w:ascii="Verdana" w:hAnsi="Verdana"/>
                <w:kern w:val="2"/>
              </w:rPr>
              <w:t>10.1.</w:t>
            </w:r>
            <w:r w:rsidR="002B408F">
              <w:rPr>
                <w:rFonts w:ascii="Verdana" w:hAnsi="Verdana"/>
                <w:kern w:val="2"/>
              </w:rPr>
              <w:t>2</w:t>
            </w:r>
            <w:r w:rsidRPr="001869FF">
              <w:rPr>
                <w:rFonts w:ascii="Verdana" w:hAnsi="Verdana"/>
                <w:kern w:val="2"/>
              </w:rPr>
              <w:t>.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50496E34" w14:textId="2C15AAEA" w:rsidR="003727C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23CE9612" w14:textId="77777777" w:rsidR="00DC7455" w:rsidRDefault="00DC7455" w:rsidP="004F2ECB">
            <w:pPr>
              <w:jc w:val="both"/>
              <w:rPr>
                <w:rFonts w:ascii="Verdana" w:hAnsi="Verdana"/>
                <w:kern w:val="2"/>
              </w:rPr>
            </w:pPr>
            <w:r w:rsidRPr="001869FF">
              <w:rPr>
                <w:rFonts w:ascii="Verdana" w:hAnsi="Verdana"/>
                <w:kern w:val="2"/>
              </w:rPr>
              <w:lastRenderedPageBreak/>
              <w:t>10.2.</w:t>
            </w:r>
            <w:r w:rsidR="002B408F">
              <w:rPr>
                <w:rFonts w:ascii="Verdana" w:hAnsi="Verdana"/>
                <w:kern w:val="2"/>
              </w:rPr>
              <w:t>2</w:t>
            </w:r>
            <w:r w:rsidRPr="001869FF">
              <w:rPr>
                <w:rFonts w:ascii="Verdana" w:hAnsi="Verdana"/>
                <w:kern w:val="2"/>
              </w:rPr>
              <w:t>.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r w:rsidR="003727C5">
              <w:rPr>
                <w:rFonts w:ascii="Verdana" w:hAnsi="Verdana"/>
                <w:kern w:val="2"/>
              </w:rPr>
              <w:t>;</w:t>
            </w:r>
          </w:p>
          <w:p w14:paraId="3239F31B" w14:textId="69AB2344" w:rsidR="003727C5" w:rsidRPr="001869FF" w:rsidRDefault="003727C5" w:rsidP="004F2ECB">
            <w:pPr>
              <w:jc w:val="both"/>
              <w:rPr>
                <w:rFonts w:ascii="Verdana" w:hAnsi="Verdana"/>
                <w:kern w:val="2"/>
              </w:rPr>
            </w:pPr>
            <w:r>
              <w:rPr>
                <w:rFonts w:ascii="Verdana" w:hAnsi="Verdana"/>
                <w:kern w:val="2"/>
              </w:rPr>
              <w:t xml:space="preserve">10.2.3. </w:t>
            </w:r>
            <w:r w:rsidRPr="003727C5">
              <w:rPr>
                <w:rFonts w:ascii="Verdana" w:hAnsi="Verdana"/>
                <w:kern w:val="2"/>
              </w:rPr>
              <w:t>dideliu esminės Sutarties sąlygos vykdymo trūkumu laikomas Tiekėjo uždelsimas, trunkantis daugiau nei 10 darbo dienų, pristatyti Prekes pagal nustatytą terminą;</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355E13AC" w14:textId="0B1F6CBA" w:rsidR="00DC7455" w:rsidRPr="001869FF" w:rsidRDefault="00DC7455" w:rsidP="00B25AB8">
            <w:pPr>
              <w:jc w:val="both"/>
              <w:rPr>
                <w:rFonts w:ascii="Verdana" w:hAnsi="Verdana"/>
                <w:color w:val="4472C4"/>
                <w:kern w:val="2"/>
              </w:rPr>
            </w:pPr>
            <w:r w:rsidRPr="001869FF">
              <w:rPr>
                <w:rFonts w:ascii="Verdana" w:hAnsi="Verdana"/>
                <w:kern w:val="2"/>
              </w:rPr>
              <w:t>Ši Sutartis laikoma sudaryta, kai ją pasirašo abi Šalys</w:t>
            </w:r>
            <w:r w:rsidR="00B25AB8">
              <w:rPr>
                <w:rFonts w:ascii="Verdana" w:hAnsi="Verdana"/>
                <w:kern w:val="2"/>
              </w:rPr>
              <w:t xml:space="preserve"> ir</w:t>
            </w:r>
            <w:r w:rsidRPr="001869FF">
              <w:rPr>
                <w:rFonts w:ascii="Verdana" w:hAnsi="Verdana"/>
                <w:kern w:val="2"/>
              </w:rPr>
              <w:t xml:space="preserve"> galioja iki visiško prievolių įvykdymo, bet jos terminas negali būti ilgesnis kaip </w:t>
            </w:r>
            <w:r w:rsidR="003727C5">
              <w:rPr>
                <w:rFonts w:ascii="Verdana" w:hAnsi="Verdana"/>
                <w:kern w:val="2"/>
              </w:rPr>
              <w:t>iki 2026 m. rugsėjo 6 d.</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008B11AC" w14:textId="72ED1C7E"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7231B02C" w14:textId="5AE510F4"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sidR="00715571">
              <w:rPr>
                <w:rFonts w:ascii="Verdana" w:eastAsia="Arial" w:hAnsi="Verdana"/>
                <w:kern w:val="2"/>
              </w:rPr>
              <w:t>2</w:t>
            </w:r>
            <w:r w:rsidRPr="001869FF">
              <w:rPr>
                <w:rFonts w:ascii="Verdana" w:eastAsia="Arial" w:hAnsi="Verdana"/>
                <w:kern w:val="2"/>
              </w:rPr>
              <w:t>. Tiekėjas daugiau kaip 2 (du) kartus pristato Prekes, kurios neatitinka Sutartyje ir (ar) įstatymuose nustatytų reikalavimų Prekėms.</w:t>
            </w:r>
          </w:p>
          <w:p w14:paraId="77408D21" w14:textId="79E30C41" w:rsidR="00DC7455" w:rsidRPr="002B408F" w:rsidRDefault="00DC7455" w:rsidP="002B408F">
            <w:pPr>
              <w:jc w:val="both"/>
              <w:rPr>
                <w:rFonts w:ascii="Verdana" w:hAnsi="Verdana"/>
                <w:kern w:val="2"/>
              </w:rPr>
            </w:pPr>
            <w:r w:rsidRPr="001869FF">
              <w:rPr>
                <w:rFonts w:ascii="Verdana" w:eastAsia="Arial" w:hAnsi="Verdana"/>
                <w:kern w:val="2"/>
              </w:rPr>
              <w:t>12.2.</w:t>
            </w:r>
            <w:r w:rsidR="00715571">
              <w:rPr>
                <w:rFonts w:ascii="Verdana" w:eastAsia="Arial" w:hAnsi="Verdana"/>
                <w:kern w:val="2"/>
              </w:rPr>
              <w:t>3</w:t>
            </w:r>
            <w:r w:rsidRPr="001869FF">
              <w:rPr>
                <w:rFonts w:ascii="Verdana" w:eastAsia="Arial" w:hAnsi="Verdana"/>
                <w:kern w:val="2"/>
              </w:rPr>
              <w:t xml:space="preserve">. </w:t>
            </w:r>
            <w:r w:rsidR="002B408F" w:rsidRPr="001869FF">
              <w:rPr>
                <w:rFonts w:ascii="Verdana" w:hAnsi="Verdana"/>
                <w:kern w:val="2"/>
              </w:rPr>
              <w:t>Tiekėjo uždelsimas, trunkantis daugiau ne</w:t>
            </w:r>
            <w:r w:rsidR="002B408F">
              <w:rPr>
                <w:rFonts w:ascii="Verdana" w:hAnsi="Verdana"/>
                <w:kern w:val="2"/>
              </w:rPr>
              <w:t>i</w:t>
            </w:r>
            <w:r w:rsidR="002B408F" w:rsidRPr="001869FF">
              <w:rPr>
                <w:rFonts w:ascii="Verdana" w:hAnsi="Verdana"/>
                <w:kern w:val="2"/>
              </w:rPr>
              <w:t xml:space="preserve"> 10 darbo dienų, pristatyti Prekes pagal nustatytą terminą</w:t>
            </w:r>
            <w:r w:rsidR="002B408F">
              <w:rPr>
                <w:rFonts w:ascii="Verdana" w:hAnsi="Verdana"/>
                <w:kern w:val="2"/>
              </w:rPr>
              <w:t>.</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7FE5BB57" w14:textId="5F22E700" w:rsidR="001619CD" w:rsidRDefault="00DC7455" w:rsidP="00490948">
            <w:pPr>
              <w:tabs>
                <w:tab w:val="left" w:pos="1701"/>
              </w:tabs>
              <w:jc w:val="both"/>
              <w:rPr>
                <w:rFonts w:ascii="Verdana" w:hAnsi="Verdana"/>
                <w:color w:val="000000" w:themeColor="text1"/>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bookmarkStart w:id="1" w:name="_Hlk219368531"/>
            <w:r w:rsidR="003727C5" w:rsidRPr="003727C5">
              <w:rPr>
                <w:rFonts w:ascii="Verdana" w:hAnsi="Verdana"/>
              </w:rPr>
              <w:t xml:space="preserve">4.1. papunkčio </w:t>
            </w:r>
            <w:bookmarkStart w:id="2" w:name="_Hlk219368380"/>
            <w:r w:rsidR="003727C5" w:rsidRPr="003727C5">
              <w:rPr>
                <w:rFonts w:ascii="Verdana" w:hAnsi="Verdana"/>
              </w:rPr>
              <w:t xml:space="preserve">2 priedo VII skyriaus </w:t>
            </w:r>
            <w:r w:rsidR="003727C5" w:rsidRPr="003727C5">
              <w:rPr>
                <w:rFonts w:ascii="Verdana" w:hAnsi="Verdana"/>
                <w:b/>
                <w:bCs/>
              </w:rPr>
              <w:t>„Baldai“</w:t>
            </w:r>
            <w:r w:rsidR="003727C5" w:rsidRPr="003727C5">
              <w:rPr>
                <w:rFonts w:ascii="Verdana" w:hAnsi="Verdana"/>
              </w:rPr>
              <w:t xml:space="preserve"> reikalavimai</w:t>
            </w:r>
            <w:bookmarkEnd w:id="1"/>
            <w:bookmarkEnd w:id="2"/>
            <w:r w:rsidR="003727C5">
              <w:rPr>
                <w:rFonts w:ascii="Verdana" w:hAnsi="Verdana"/>
              </w:rPr>
              <w:t xml:space="preserve"> </w:t>
            </w:r>
            <w:r w:rsidR="003727C5" w:rsidRPr="003727C5">
              <w:rPr>
                <w:rFonts w:ascii="Verdana" w:hAnsi="Verdana"/>
                <w:b/>
                <w:bCs/>
              </w:rPr>
              <w:t xml:space="preserve">(žiūrėti Sutarties </w:t>
            </w:r>
            <w:r w:rsidR="003727C5">
              <w:rPr>
                <w:rFonts w:ascii="Verdana" w:hAnsi="Verdana"/>
                <w:b/>
                <w:bCs/>
              </w:rPr>
              <w:t>1</w:t>
            </w:r>
            <w:r w:rsidR="003727C5" w:rsidRPr="003727C5">
              <w:rPr>
                <w:rFonts w:ascii="Verdana" w:hAnsi="Verdana"/>
                <w:b/>
                <w:bCs/>
              </w:rPr>
              <w:t xml:space="preserve"> priedą)</w:t>
            </w:r>
            <w:r w:rsidR="004E7AA5">
              <w:rPr>
                <w:rFonts w:ascii="Verdana" w:hAnsi="Verdana"/>
                <w:color w:val="000000" w:themeColor="text1"/>
              </w:rPr>
              <w:t>.</w:t>
            </w:r>
          </w:p>
          <w:p w14:paraId="179EC960" w14:textId="77777777" w:rsidR="00F30FCB" w:rsidRPr="001869FF" w:rsidRDefault="00F30FCB" w:rsidP="00F30FCB">
            <w:pPr>
              <w:tabs>
                <w:tab w:val="left" w:pos="1701"/>
              </w:tabs>
              <w:ind w:firstLine="425"/>
              <w:jc w:val="both"/>
              <w:rPr>
                <w:rFonts w:ascii="Verdana" w:hAnsi="Verdana"/>
              </w:rPr>
            </w:pPr>
          </w:p>
          <w:p w14:paraId="3771CBD6" w14:textId="77777777" w:rsidR="00DC7455" w:rsidRPr="001869FF"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lastRenderedPageBreak/>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038D6F08" w14:textId="23A69BFE" w:rsidR="00DC7455" w:rsidRPr="008F6CB0" w:rsidRDefault="008F6CB0" w:rsidP="004F2ECB">
            <w:pPr>
              <w:jc w:val="center"/>
              <w:rPr>
                <w:rFonts w:ascii="Verdana" w:hAnsi="Verdana"/>
                <w:b/>
                <w:bCs/>
                <w:color w:val="4472C4"/>
                <w:kern w:val="2"/>
              </w:rPr>
            </w:pPr>
            <w:r w:rsidRPr="001869FF">
              <w:rPr>
                <w:rFonts w:ascii="Verdana" w:hAnsi="Verdana"/>
                <w:color w:val="4472C4"/>
                <w:kern w:val="2"/>
              </w:rPr>
              <w:t xml:space="preserve">(nurodomos </w:t>
            </w:r>
            <w:r>
              <w:rPr>
                <w:rFonts w:ascii="Verdana" w:hAnsi="Verdana"/>
                <w:color w:val="4472C4"/>
                <w:kern w:val="2"/>
              </w:rPr>
              <w:t>pirkėjo</w:t>
            </w:r>
            <w:r w:rsidRPr="001869FF">
              <w:rPr>
                <w:rFonts w:ascii="Verdana" w:hAnsi="Verdana"/>
                <w:color w:val="4472C4"/>
                <w:kern w:val="2"/>
              </w:rPr>
              <w:t xml:space="preserve"> pareigos, vardas, pavardė)</w:t>
            </w:r>
          </w:p>
        </w:tc>
        <w:tc>
          <w:tcPr>
            <w:tcW w:w="4509" w:type="dxa"/>
            <w:tcBorders>
              <w:top w:val="single" w:sz="4" w:space="0" w:color="auto"/>
              <w:left w:val="single" w:sz="4" w:space="0" w:color="auto"/>
              <w:bottom w:val="single" w:sz="4" w:space="0" w:color="auto"/>
              <w:right w:val="single" w:sz="4" w:space="0" w:color="auto"/>
            </w:tcBorders>
          </w:tcPr>
          <w:p w14:paraId="63E92719" w14:textId="3DAAB9AA" w:rsidR="00DC7455" w:rsidRPr="001869FF" w:rsidRDefault="00DC7455" w:rsidP="004F2ECB">
            <w:pPr>
              <w:jc w:val="center"/>
              <w:rPr>
                <w:rFonts w:ascii="Verdana" w:hAnsi="Verdana"/>
                <w:b/>
                <w:bCs/>
                <w:kern w:val="2"/>
              </w:rPr>
            </w:pPr>
            <w:r w:rsidRPr="001869FF">
              <w:rPr>
                <w:rFonts w:ascii="Verdana" w:hAnsi="Verdana"/>
                <w:color w:val="4472C4"/>
                <w:kern w:val="2"/>
              </w:rPr>
              <w:t xml:space="preserve">(nurodomos </w:t>
            </w:r>
            <w:r w:rsidR="008F6CB0">
              <w:rPr>
                <w:rFonts w:ascii="Verdana" w:hAnsi="Verdana"/>
                <w:color w:val="4472C4"/>
                <w:kern w:val="2"/>
              </w:rPr>
              <w:t>tiekėjo</w:t>
            </w:r>
            <w:r w:rsidRPr="001869FF">
              <w:rPr>
                <w:rFonts w:ascii="Verdana" w:hAnsi="Verdana"/>
                <w:color w:val="4472C4"/>
                <w:kern w:val="2"/>
              </w:rPr>
              <w:t xml:space="preserve">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32028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F599" w14:textId="77777777" w:rsidR="00B60048" w:rsidRDefault="00B60048" w:rsidP="00320286">
      <w:r>
        <w:separator/>
      </w:r>
    </w:p>
  </w:endnote>
  <w:endnote w:type="continuationSeparator" w:id="0">
    <w:p w14:paraId="0AC9B553" w14:textId="77777777" w:rsidR="00B60048" w:rsidRDefault="00B60048" w:rsidP="0032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9A01" w14:textId="77777777" w:rsidR="00B60048" w:rsidRDefault="00B60048" w:rsidP="00320286">
      <w:r>
        <w:separator/>
      </w:r>
    </w:p>
  </w:footnote>
  <w:footnote w:type="continuationSeparator" w:id="0">
    <w:p w14:paraId="06F9A5B2" w14:textId="77777777" w:rsidR="00B60048" w:rsidRDefault="00B60048" w:rsidP="0032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478761"/>
      <w:docPartObj>
        <w:docPartGallery w:val="Page Numbers (Top of Page)"/>
        <w:docPartUnique/>
      </w:docPartObj>
    </w:sdtPr>
    <w:sdtContent>
      <w:p w14:paraId="601684BF" w14:textId="1B6F71C4" w:rsidR="00320286" w:rsidRDefault="00320286">
        <w:pPr>
          <w:pStyle w:val="Antrats"/>
          <w:jc w:val="center"/>
        </w:pPr>
        <w:r>
          <w:fldChar w:fldCharType="begin"/>
        </w:r>
        <w:r>
          <w:instrText>PAGE   \* MERGEFORMAT</w:instrText>
        </w:r>
        <w:r>
          <w:fldChar w:fldCharType="separate"/>
        </w:r>
        <w:r>
          <w:t>2</w:t>
        </w:r>
        <w:r>
          <w:fldChar w:fldCharType="end"/>
        </w:r>
      </w:p>
    </w:sdtContent>
  </w:sdt>
  <w:p w14:paraId="2143ADE6" w14:textId="77777777" w:rsidR="00320286" w:rsidRDefault="003202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902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43CB8"/>
    <w:rsid w:val="00064CD7"/>
    <w:rsid w:val="000804D4"/>
    <w:rsid w:val="0008665E"/>
    <w:rsid w:val="000C586D"/>
    <w:rsid w:val="00110B79"/>
    <w:rsid w:val="001619CD"/>
    <w:rsid w:val="00197771"/>
    <w:rsid w:val="001A5595"/>
    <w:rsid w:val="001A66A9"/>
    <w:rsid w:val="001D729B"/>
    <w:rsid w:val="001E5EFD"/>
    <w:rsid w:val="002215A2"/>
    <w:rsid w:val="00272AEC"/>
    <w:rsid w:val="002B408F"/>
    <w:rsid w:val="00320286"/>
    <w:rsid w:val="00360327"/>
    <w:rsid w:val="003727C5"/>
    <w:rsid w:val="003A0ED9"/>
    <w:rsid w:val="003D7B45"/>
    <w:rsid w:val="003E14AF"/>
    <w:rsid w:val="003F4FEC"/>
    <w:rsid w:val="003F5A1F"/>
    <w:rsid w:val="00411F17"/>
    <w:rsid w:val="00412F18"/>
    <w:rsid w:val="00417A1E"/>
    <w:rsid w:val="00445F85"/>
    <w:rsid w:val="00452203"/>
    <w:rsid w:val="00490948"/>
    <w:rsid w:val="004B30BC"/>
    <w:rsid w:val="004D0428"/>
    <w:rsid w:val="004E7AA5"/>
    <w:rsid w:val="00503239"/>
    <w:rsid w:val="00523C51"/>
    <w:rsid w:val="00530454"/>
    <w:rsid w:val="00564567"/>
    <w:rsid w:val="005879B5"/>
    <w:rsid w:val="005D69AF"/>
    <w:rsid w:val="005F4EF7"/>
    <w:rsid w:val="006846D7"/>
    <w:rsid w:val="006E71D0"/>
    <w:rsid w:val="006F5B83"/>
    <w:rsid w:val="00715571"/>
    <w:rsid w:val="007C196A"/>
    <w:rsid w:val="007D6CEC"/>
    <w:rsid w:val="007E7C8E"/>
    <w:rsid w:val="00806E77"/>
    <w:rsid w:val="0087456F"/>
    <w:rsid w:val="008800D2"/>
    <w:rsid w:val="008A41C5"/>
    <w:rsid w:val="008E7A3C"/>
    <w:rsid w:val="008F6CB0"/>
    <w:rsid w:val="008F796F"/>
    <w:rsid w:val="0091401B"/>
    <w:rsid w:val="00931A3E"/>
    <w:rsid w:val="009477F3"/>
    <w:rsid w:val="00A235B4"/>
    <w:rsid w:val="00A35C6C"/>
    <w:rsid w:val="00A40F48"/>
    <w:rsid w:val="00A42FDE"/>
    <w:rsid w:val="00A44DA9"/>
    <w:rsid w:val="00A61B05"/>
    <w:rsid w:val="00A90B12"/>
    <w:rsid w:val="00AB5198"/>
    <w:rsid w:val="00B1165D"/>
    <w:rsid w:val="00B11A5F"/>
    <w:rsid w:val="00B20003"/>
    <w:rsid w:val="00B21EC2"/>
    <w:rsid w:val="00B25AB8"/>
    <w:rsid w:val="00B60048"/>
    <w:rsid w:val="00BC0C35"/>
    <w:rsid w:val="00C656E9"/>
    <w:rsid w:val="00CA5D74"/>
    <w:rsid w:val="00D25CB6"/>
    <w:rsid w:val="00D27D39"/>
    <w:rsid w:val="00D46BBC"/>
    <w:rsid w:val="00D73595"/>
    <w:rsid w:val="00DA1D52"/>
    <w:rsid w:val="00DB0E65"/>
    <w:rsid w:val="00DC7455"/>
    <w:rsid w:val="00DF1216"/>
    <w:rsid w:val="00E144AD"/>
    <w:rsid w:val="00E2079A"/>
    <w:rsid w:val="00E33FA0"/>
    <w:rsid w:val="00E555F5"/>
    <w:rsid w:val="00E6795F"/>
    <w:rsid w:val="00EC6612"/>
    <w:rsid w:val="00F30FCB"/>
    <w:rsid w:val="00F41563"/>
    <w:rsid w:val="00FB7E4B"/>
    <w:rsid w:val="00FE1183"/>
    <w:rsid w:val="00FE5968"/>
    <w:rsid w:val="00FF002F"/>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ioreikaluskyriu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E59B-B4D0-435B-97EA-88D651B5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36</Pages>
  <Words>61836</Words>
  <Characters>35248</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Eglė Niūklienė</cp:lastModifiedBy>
  <cp:revision>63</cp:revision>
  <dcterms:created xsi:type="dcterms:W3CDTF">2025-11-20T10:31:00Z</dcterms:created>
  <dcterms:modified xsi:type="dcterms:W3CDTF">2026-04-01T10:59:00Z</dcterms:modified>
</cp:coreProperties>
</file>