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711E" w14:textId="45170F74" w:rsidR="00986C5E" w:rsidRPr="004A00F2" w:rsidRDefault="0017156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Cs/>
          <w:color w:val="FF0000"/>
          <w:szCs w:val="24"/>
        </w:rPr>
      </w:pPr>
      <w:bookmarkStart w:id="0" w:name="_Hlk206063498"/>
      <w:r>
        <w:rPr>
          <w:rFonts w:ascii="Calibri" w:hAnsi="Calibri" w:cs="Calibri"/>
          <w:bCs/>
          <w:iCs/>
          <w:szCs w:val="24"/>
        </w:rPr>
        <w:t>KONTEINERINIŲ NAMELIŲ NUOMOS</w:t>
      </w:r>
      <w:r w:rsidR="00EA2A37" w:rsidRPr="004A00F2">
        <w:rPr>
          <w:rFonts w:ascii="Calibri" w:hAnsi="Calibri" w:cs="Calibri"/>
          <w:bCs/>
          <w:iCs/>
          <w:szCs w:val="24"/>
        </w:rPr>
        <w:t xml:space="preserve"> </w:t>
      </w:r>
      <w:r w:rsidR="00EA2A37" w:rsidRPr="004A00F2">
        <w:rPr>
          <w:rFonts w:asciiTheme="minorHAnsi" w:eastAsia="Arial" w:hAnsiTheme="minorHAnsi" w:cstheme="minorHAnsi"/>
          <w:bCs/>
          <w:szCs w:val="24"/>
        </w:rPr>
        <w:t>PIRKIM</w:t>
      </w:r>
      <w:bookmarkEnd w:id="0"/>
      <w:r w:rsidR="001270D1">
        <w:rPr>
          <w:rFonts w:asciiTheme="minorHAnsi" w:eastAsia="Arial" w:hAnsiTheme="minorHAnsi" w:cstheme="minorHAnsi"/>
          <w:bCs/>
          <w:szCs w:val="24"/>
        </w:rPr>
        <w:t>O</w:t>
      </w:r>
    </w:p>
    <w:p w14:paraId="132883D7" w14:textId="47932C2C" w:rsidR="0057677F" w:rsidRPr="00EA2A37" w:rsidRDefault="004C089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EA2A37">
        <w:rPr>
          <w:rFonts w:asciiTheme="minorHAnsi" w:hAnsiTheme="minorHAnsi" w:cstheme="minorHAnsi"/>
          <w:b/>
          <w:bCs/>
          <w:szCs w:val="24"/>
        </w:rPr>
        <w:t>RINKOS KONSULTACIJOS APRAŠAS</w:t>
      </w:r>
    </w:p>
    <w:p w14:paraId="2A4557CB" w14:textId="77777777" w:rsidR="00FB00AA" w:rsidRPr="00986C5E" w:rsidRDefault="00FB00AA" w:rsidP="0010329B">
      <w:pPr>
        <w:spacing w:line="360" w:lineRule="auto"/>
        <w:rPr>
          <w:rFonts w:asciiTheme="minorHAnsi" w:hAnsiTheme="minorHAnsi" w:cstheme="minorHAnsi"/>
        </w:rPr>
      </w:pPr>
    </w:p>
    <w:p w14:paraId="57E1C885" w14:textId="09FE2EE0" w:rsidR="0057677F" w:rsidRDefault="00981FBE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986C5E">
        <w:rPr>
          <w:rFonts w:asciiTheme="minorHAnsi" w:hAnsiTheme="minorHAnsi" w:cstheme="minorHAnsi"/>
        </w:rPr>
        <w:t>Kauno miesto savivaldybės administracija</w:t>
      </w:r>
      <w:r w:rsidR="004B66E7" w:rsidRPr="00986C5E">
        <w:rPr>
          <w:rFonts w:asciiTheme="minorHAnsi" w:hAnsiTheme="minorHAnsi" w:cstheme="minorHAnsi"/>
        </w:rPr>
        <w:t xml:space="preserve"> (toliau – P</w:t>
      </w:r>
      <w:r w:rsidR="0057677F" w:rsidRPr="00986C5E">
        <w:rPr>
          <w:rFonts w:asciiTheme="minorHAnsi" w:hAnsiTheme="minorHAnsi" w:cstheme="minorHAnsi"/>
        </w:rPr>
        <w:t>erkančioji organizacija), siekdama tinkamai pasire</w:t>
      </w:r>
      <w:r w:rsidRPr="00986C5E">
        <w:rPr>
          <w:rFonts w:asciiTheme="minorHAnsi" w:hAnsiTheme="minorHAnsi" w:cstheme="minorHAnsi"/>
        </w:rPr>
        <w:t>ngti numatomam</w:t>
      </w:r>
      <w:r w:rsidR="009E56D2" w:rsidRPr="00986C5E">
        <w:rPr>
          <w:rFonts w:asciiTheme="minorHAnsi" w:hAnsiTheme="minorHAnsi" w:cstheme="minorHAnsi"/>
        </w:rPr>
        <w:t xml:space="preserve"> </w:t>
      </w:r>
      <w:r w:rsidR="0017156D">
        <w:rPr>
          <w:rFonts w:asciiTheme="minorHAnsi" w:hAnsiTheme="minorHAnsi" w:cstheme="minorHAnsi"/>
          <w:b/>
          <w:bCs/>
          <w:szCs w:val="24"/>
        </w:rPr>
        <w:t>konteinerinių namelių nuomos</w:t>
      </w:r>
      <w:r w:rsidR="00304F5D">
        <w:rPr>
          <w:rFonts w:ascii="Calibri" w:hAnsi="Calibri" w:cs="Calibri"/>
          <w:b/>
          <w:bCs/>
          <w:iCs/>
          <w:szCs w:val="24"/>
        </w:rPr>
        <w:t xml:space="preserve"> </w:t>
      </w:r>
      <w:r w:rsidR="001270D1">
        <w:rPr>
          <w:rFonts w:ascii="Calibri" w:hAnsi="Calibri" w:cs="Calibri"/>
          <w:b/>
          <w:bCs/>
          <w:iCs/>
          <w:szCs w:val="24"/>
        </w:rPr>
        <w:t>pirkimui</w:t>
      </w:r>
      <w:r w:rsidR="00DE5135" w:rsidRPr="00EA2A37">
        <w:rPr>
          <w:rFonts w:asciiTheme="minorHAnsi" w:hAnsiTheme="minorHAnsi" w:cstheme="minorHAnsi"/>
          <w:szCs w:val="24"/>
        </w:rPr>
        <w:t xml:space="preserve"> </w:t>
      </w:r>
      <w:r w:rsidR="006A2BE8" w:rsidRPr="00EA2A37">
        <w:rPr>
          <w:rFonts w:asciiTheme="minorHAnsi" w:hAnsiTheme="minorHAnsi" w:cstheme="minorHAnsi"/>
          <w:szCs w:val="24"/>
        </w:rPr>
        <w:t>(toliau – pirkimas)</w:t>
      </w:r>
      <w:r w:rsidR="00304F5D">
        <w:rPr>
          <w:rFonts w:asciiTheme="minorHAnsi" w:hAnsiTheme="minorHAnsi" w:cstheme="minorHAnsi"/>
          <w:szCs w:val="24"/>
        </w:rPr>
        <w:t>,</w:t>
      </w:r>
      <w:r w:rsidR="004C089D" w:rsidRPr="00EA2A37">
        <w:rPr>
          <w:rFonts w:asciiTheme="minorHAnsi" w:hAnsiTheme="minorHAnsi" w:cstheme="minorHAnsi"/>
          <w:szCs w:val="24"/>
        </w:rPr>
        <w:t xml:space="preserve"> </w:t>
      </w:r>
      <w:r w:rsidR="0057677F" w:rsidRPr="00EA2A37">
        <w:rPr>
          <w:rFonts w:asciiTheme="minorHAnsi" w:hAnsiTheme="minorHAnsi" w:cstheme="minorHAnsi"/>
          <w:szCs w:val="24"/>
        </w:rPr>
        <w:t>organizuoja rinkos dalyvių konsultaciją</w:t>
      </w:r>
      <w:r w:rsidR="0057677F" w:rsidRPr="00986C5E">
        <w:rPr>
          <w:rFonts w:asciiTheme="minorHAnsi" w:hAnsiTheme="minorHAnsi" w:cstheme="minorHAnsi"/>
        </w:rPr>
        <w:t>.</w:t>
      </w:r>
    </w:p>
    <w:p w14:paraId="0BD6892F" w14:textId="77777777" w:rsidR="0057677F" w:rsidRPr="003B5ECE" w:rsidRDefault="00E92D0A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0329B">
      <w:pPr>
        <w:autoSpaceDE w:val="0"/>
        <w:autoSpaceDN w:val="0"/>
        <w:adjustRightInd w:val="0"/>
        <w:spacing w:line="36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74B39F75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995068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975B0F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17156D">
        <w:rPr>
          <w:rFonts w:asciiTheme="minorHAnsi" w:hAnsiTheme="minorHAnsi" w:cstheme="minorHAnsi"/>
        </w:rPr>
        <w:t>pirkimo sąlygų projektai</w:t>
      </w:r>
      <w:r w:rsidR="00C14340">
        <w:rPr>
          <w:rFonts w:asciiTheme="minorHAnsi" w:hAnsiTheme="minorHAnsi" w:cstheme="minorHAnsi"/>
        </w:rPr>
        <w:t>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3F93DDD8" w14:textId="4A7B463F" w:rsidR="00FB00AA" w:rsidRDefault="004B66E7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17156D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17156D">
        <w:rPr>
          <w:rFonts w:asciiTheme="minorHAnsi" w:hAnsiTheme="minorHAnsi" w:cstheme="minorHAnsi"/>
          <w:b/>
          <w:shd w:val="clear" w:color="auto" w:fill="DBE5F1" w:themeFill="accent1" w:themeFillTint="33"/>
        </w:rPr>
        <w:t>04</w:t>
      </w:r>
      <w:r w:rsidR="009F1526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17156D">
        <w:rPr>
          <w:rFonts w:asciiTheme="minorHAnsi" w:hAnsiTheme="minorHAnsi" w:cstheme="minorHAnsi"/>
          <w:b/>
          <w:shd w:val="clear" w:color="auto" w:fill="DBE5F1" w:themeFill="accent1" w:themeFillTint="33"/>
        </w:rPr>
        <w:t>07</w:t>
      </w:r>
      <w:r w:rsidR="007278E7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17156D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18CB634C" w14:textId="492125BA" w:rsidR="003811A3" w:rsidRDefault="0051120F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769"/>
        <w:gridCol w:w="3405"/>
      </w:tblGrid>
      <w:tr w:rsidR="00941D11" w:rsidRPr="003B5ECE" w14:paraId="1683BFD7" w14:textId="77777777" w:rsidTr="00C14340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bookmarkStart w:id="1" w:name="_Hlk216963719"/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4A00F2" w:rsidRPr="003B5ECE" w14:paraId="73851528" w14:textId="77777777" w:rsidTr="00C14340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84A" w14:textId="7A6A7595" w:rsidR="004A00F2" w:rsidRDefault="0017156D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4A00F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F77" w14:textId="53898B5A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 xml:space="preserve">Ar techninė specifikacija yra pakankamai išsami, konkreti ir aiški? Jeigu ne, nurodykite kurios vietos neišsamios, </w:t>
            </w:r>
            <w:r w:rsidRPr="003B5ECE">
              <w:rPr>
                <w:rFonts w:asciiTheme="minorHAnsi" w:hAnsiTheme="minorHAnsi" w:cstheme="minorHAnsi"/>
              </w:rPr>
              <w:lastRenderedPageBreak/>
              <w:t>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750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1E3F1EFE" w14:textId="77777777" w:rsidTr="00C14340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5F7" w14:textId="346F85DF" w:rsidR="004A00F2" w:rsidRDefault="0017156D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4A00F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799" w14:textId="2F520E08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 xml:space="preserve">Ar </w:t>
            </w:r>
            <w:r>
              <w:rPr>
                <w:rFonts w:asciiTheme="minorHAnsi" w:hAnsiTheme="minorHAnsi" w:cstheme="minorHAnsi"/>
              </w:rPr>
              <w:t>sutarties sąlygos</w:t>
            </w:r>
            <w:r w:rsidRPr="003B5ECE">
              <w:rPr>
                <w:rFonts w:asciiTheme="minorHAnsi" w:hAnsiTheme="minorHAnsi" w:cstheme="minorHAnsi"/>
              </w:rPr>
              <w:t xml:space="preserve"> yra pakankamai išsami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, konkre</w:t>
            </w:r>
            <w:r>
              <w:rPr>
                <w:rFonts w:asciiTheme="minorHAnsi" w:hAnsiTheme="minorHAnsi" w:cstheme="minorHAnsi"/>
              </w:rPr>
              <w:t>čios</w:t>
            </w:r>
            <w:r w:rsidRPr="003B5ECE">
              <w:rPr>
                <w:rFonts w:asciiTheme="minorHAnsi" w:hAnsiTheme="minorHAnsi" w:cstheme="minorHAnsi"/>
              </w:rPr>
              <w:t xml:space="preserve"> ir aiški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D85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bookmarkEnd w:id="1"/>
      <w:tr w:rsidR="0017156D" w:rsidRPr="00037978" w14:paraId="4B70445C" w14:textId="77777777" w:rsidTr="00C14340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64C4" w14:textId="3A6B8F27" w:rsidR="0017156D" w:rsidRPr="00037978" w:rsidRDefault="0017156D" w:rsidP="0017156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037978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A11F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037978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E03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  <w:tr w:rsidR="0017156D" w:rsidRPr="00037978" w14:paraId="034B9675" w14:textId="77777777" w:rsidTr="00C14340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4AE6" w14:textId="39615819" w:rsidR="0017156D" w:rsidRPr="00037978" w:rsidRDefault="0017156D" w:rsidP="0017156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2C5A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037978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  informacijos</w:t>
            </w:r>
            <w:r>
              <w:rPr>
                <w:rFonts w:asciiTheme="minorHAnsi" w:eastAsia="Calibri" w:hAnsiTheme="minorHAnsi" w:cstheme="minorHAnsi"/>
                <w:szCs w:val="24"/>
              </w:rPr>
              <w:t>?</w:t>
            </w:r>
            <w:r w:rsidRPr="00037978">
              <w:rPr>
                <w:rFonts w:asciiTheme="minorHAnsi" w:eastAsia="Calibri" w:hAnsiTheme="minorHAnsi" w:cstheme="minorHAnsi"/>
                <w:szCs w:val="24"/>
              </w:rPr>
              <w:t xml:space="preserve"> Jeigu taip, prašome nurodyti, kokia pateikta informacija yra konfidenciali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786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0329B">
      <w:pPr>
        <w:pStyle w:val="Betarp"/>
        <w:spacing w:line="360" w:lineRule="auto"/>
        <w:ind w:firstLine="851"/>
        <w:rPr>
          <w:rFonts w:asciiTheme="minorHAnsi" w:hAnsiTheme="minorHAnsi" w:cstheme="minorHAnsi"/>
          <w:i/>
          <w:iCs/>
        </w:rPr>
      </w:pPr>
    </w:p>
    <w:p w14:paraId="68015708" w14:textId="057640CB" w:rsidR="007D5640" w:rsidRPr="003B5ECE" w:rsidRDefault="0051120F" w:rsidP="004A00F2">
      <w:pPr>
        <w:pStyle w:val="Betarp"/>
        <w:spacing w:line="360" w:lineRule="auto"/>
        <w:ind w:firstLine="85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sectPr w:rsidR="007D5640" w:rsidRPr="003B5ECE" w:rsidSect="004A00F2">
      <w:headerReference w:type="default" r:id="rId8"/>
      <w:pgSz w:w="11906" w:h="16838" w:code="9"/>
      <w:pgMar w:top="1134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4CF9" w14:textId="77777777" w:rsidR="00911989" w:rsidRDefault="00911989" w:rsidP="005F2C09">
      <w:pPr>
        <w:spacing w:line="240" w:lineRule="auto"/>
      </w:pPr>
      <w:r>
        <w:separator/>
      </w:r>
    </w:p>
  </w:endnote>
  <w:endnote w:type="continuationSeparator" w:id="0">
    <w:p w14:paraId="6D07B13F" w14:textId="77777777" w:rsidR="00911989" w:rsidRDefault="0091198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D11B" w14:textId="77777777" w:rsidR="00911989" w:rsidRDefault="00911989" w:rsidP="005F2C09">
      <w:pPr>
        <w:spacing w:line="240" w:lineRule="auto"/>
      </w:pPr>
      <w:r>
        <w:separator/>
      </w:r>
    </w:p>
  </w:footnote>
  <w:footnote w:type="continuationSeparator" w:id="0">
    <w:p w14:paraId="0C9ED087" w14:textId="77777777" w:rsidR="00911989" w:rsidRDefault="0091198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0AEE093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271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179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596243">
    <w:abstractNumId w:val="3"/>
  </w:num>
  <w:num w:numId="3" w16cid:durableId="2116627806">
    <w:abstractNumId w:val="0"/>
  </w:num>
  <w:num w:numId="4" w16cid:durableId="667752968">
    <w:abstractNumId w:val="2"/>
  </w:num>
  <w:num w:numId="5" w16cid:durableId="131599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270D1"/>
    <w:rsid w:val="00130D78"/>
    <w:rsid w:val="001350C4"/>
    <w:rsid w:val="001357E9"/>
    <w:rsid w:val="001373E2"/>
    <w:rsid w:val="00155DBD"/>
    <w:rsid w:val="00157379"/>
    <w:rsid w:val="00161DD2"/>
    <w:rsid w:val="0017156D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9711E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04F5D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3B16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07D6E"/>
    <w:rsid w:val="00437AAA"/>
    <w:rsid w:val="00463C04"/>
    <w:rsid w:val="004724B7"/>
    <w:rsid w:val="00474535"/>
    <w:rsid w:val="00484DD6"/>
    <w:rsid w:val="00495251"/>
    <w:rsid w:val="004A00F2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1989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0BD4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340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14E5E"/>
    <w:rsid w:val="00D15C4A"/>
    <w:rsid w:val="00D217A4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2A37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D7FD9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899-0792-4662-8700-4163907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127</cp:revision>
  <cp:lastPrinted>2026-04-01T13:43:00Z</cp:lastPrinted>
  <dcterms:created xsi:type="dcterms:W3CDTF">2022-03-15T18:00:00Z</dcterms:created>
  <dcterms:modified xsi:type="dcterms:W3CDTF">2026-04-01T13:43:00Z</dcterms:modified>
</cp:coreProperties>
</file>