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6222EFDC"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sidR="001767AD">
        <w:rPr>
          <w:color w:val="000000" w:themeColor="text1"/>
          <w:sz w:val="24"/>
          <w:szCs w:val="24"/>
        </w:rPr>
        <w:t>6</w:t>
      </w:r>
      <w:r w:rsidR="00080689" w:rsidRPr="00080689">
        <w:rPr>
          <w:color w:val="000000" w:themeColor="text1"/>
          <w:sz w:val="24"/>
          <w:szCs w:val="24"/>
        </w:rPr>
        <w:t>- ___-___</w:t>
      </w:r>
    </w:p>
    <w:p w14:paraId="2A82E5C8" w14:textId="77777777" w:rsidR="00080689" w:rsidRDefault="00080689" w:rsidP="00080689">
      <w:pPr>
        <w:rPr>
          <w:b/>
          <w:bCs/>
          <w:color w:val="000000" w:themeColor="text1"/>
          <w:lang w:val="lt-LT"/>
        </w:rPr>
      </w:pPr>
    </w:p>
    <w:p w14:paraId="242FAC7B" w14:textId="77777777" w:rsidR="00F734C9" w:rsidRDefault="00F734C9" w:rsidP="001A21BC">
      <w:pPr>
        <w:suppressAutoHyphens/>
        <w:spacing w:line="276" w:lineRule="auto"/>
        <w:jc w:val="center"/>
        <w:rPr>
          <w:b/>
          <w:bCs/>
          <w:lang w:val="lt-LT"/>
        </w:rPr>
      </w:pPr>
    </w:p>
    <w:p w14:paraId="0587892C" w14:textId="5118A72B" w:rsidR="00F734C9" w:rsidRDefault="00783A02" w:rsidP="00783A02">
      <w:pPr>
        <w:suppressAutoHyphens/>
        <w:spacing w:line="276" w:lineRule="auto"/>
        <w:jc w:val="center"/>
        <w:rPr>
          <w:b/>
          <w:bCs/>
          <w:lang w:val="lt-LT"/>
        </w:rPr>
      </w:pPr>
      <w:r w:rsidRPr="00783A02">
        <w:rPr>
          <w:b/>
          <w:bCs/>
          <w:lang w:val="lt-LT"/>
        </w:rPr>
        <w:t>PUMPĖNŲ SENOSIOS REGULOS KARMELITŲ VIENUOLYNO KOMPLEKSO ŠVČ. MERGELĖS MARIJOS ŠKAPLIERINĖS BAŽNYČIOS (U. K. KVR 23648), LANGŲ SU VITRAŽAIS TVARKYBOS (REMONTO, AVARIJOS GRĖSMĖS PAŠALINIMO – APSAUGOS TECHNINIŲ PRIEMONIŲ ĮRENGIMO) DARBAI</w:t>
      </w:r>
    </w:p>
    <w:p w14:paraId="4CB31057" w14:textId="77777777" w:rsidR="001A21BC" w:rsidRDefault="001A21BC" w:rsidP="00080689">
      <w:pPr>
        <w:rPr>
          <w:b/>
          <w:bCs/>
          <w:color w:val="000000" w:themeColor="text1"/>
          <w:lang w:val="lt-LT"/>
        </w:rPr>
      </w:pPr>
    </w:p>
    <w:p w14:paraId="4696E9FD" w14:textId="19B47B63" w:rsidR="00F01851" w:rsidRPr="00960232"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AF5375"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AF5375"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AF5375"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AF5375"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AF5375"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AF5375"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1"/>
        <w:gridCol w:w="7086"/>
        <w:gridCol w:w="1781"/>
      </w:tblGrid>
      <w:tr w:rsidR="00C62448" w:rsidRPr="00C62448" w14:paraId="4AC92BD7" w14:textId="77777777" w:rsidTr="00325730">
        <w:trPr>
          <w:cantSplit/>
          <w:trHeight w:val="674"/>
        </w:trPr>
        <w:tc>
          <w:tcPr>
            <w:tcW w:w="395" w:type="pct"/>
            <w:tcMar>
              <w:top w:w="0" w:type="dxa"/>
              <w:left w:w="108" w:type="dxa"/>
              <w:bottom w:w="0" w:type="dxa"/>
              <w:right w:w="108" w:type="dxa"/>
            </w:tcMar>
            <w:vAlign w:val="center"/>
            <w:hideMark/>
          </w:tcPr>
          <w:p w14:paraId="798A1065" w14:textId="77777777" w:rsidR="00C62448" w:rsidRPr="00E81174" w:rsidRDefault="00C62448" w:rsidP="0007393B">
            <w:pPr>
              <w:ind w:right="-113"/>
              <w:jc w:val="center"/>
              <w:rPr>
                <w:bCs/>
                <w:lang w:val="lt-LT" w:eastAsia="zh-CN"/>
              </w:rPr>
            </w:pPr>
            <w:r w:rsidRPr="00E81174">
              <w:rPr>
                <w:bCs/>
                <w:lang w:val="lt-LT" w:eastAsia="zh-CN"/>
              </w:rPr>
              <w:t>Eil. Nr.</w:t>
            </w:r>
          </w:p>
        </w:tc>
        <w:tc>
          <w:tcPr>
            <w:tcW w:w="3680" w:type="pct"/>
            <w:tcMar>
              <w:top w:w="0" w:type="dxa"/>
              <w:left w:w="108" w:type="dxa"/>
              <w:bottom w:w="0" w:type="dxa"/>
              <w:right w:w="108" w:type="dxa"/>
            </w:tcMar>
            <w:vAlign w:val="center"/>
            <w:hideMark/>
          </w:tcPr>
          <w:p w14:paraId="40A3F6B7" w14:textId="77777777" w:rsidR="00C62448" w:rsidRPr="00E81174" w:rsidRDefault="00C62448" w:rsidP="0007393B">
            <w:pPr>
              <w:keepNext/>
              <w:keepLines/>
              <w:tabs>
                <w:tab w:val="left" w:pos="1296"/>
              </w:tabs>
              <w:ind w:left="73"/>
              <w:jc w:val="center"/>
              <w:outlineLvl w:val="4"/>
              <w:rPr>
                <w:bCs/>
                <w:lang w:val="lt-LT" w:eastAsia="zh-CN"/>
              </w:rPr>
            </w:pPr>
            <w:r w:rsidRPr="00E81174">
              <w:rPr>
                <w:bCs/>
                <w:lang w:val="lt-LT" w:eastAsia="zh-CN"/>
              </w:rPr>
              <w:t>Darbų gupių (etapų) pavadinimai</w:t>
            </w:r>
          </w:p>
        </w:tc>
        <w:tc>
          <w:tcPr>
            <w:tcW w:w="925" w:type="pct"/>
            <w:tcMar>
              <w:top w:w="0" w:type="dxa"/>
              <w:left w:w="108" w:type="dxa"/>
              <w:bottom w:w="0" w:type="dxa"/>
              <w:right w:w="108" w:type="dxa"/>
            </w:tcMar>
            <w:vAlign w:val="center"/>
            <w:hideMark/>
          </w:tcPr>
          <w:p w14:paraId="6D3CA66A" w14:textId="77777777" w:rsidR="00C62448" w:rsidRPr="00E81174" w:rsidRDefault="00C62448" w:rsidP="0007393B">
            <w:pPr>
              <w:jc w:val="center"/>
              <w:rPr>
                <w:bCs/>
                <w:lang w:val="lt-LT" w:eastAsia="zh-CN"/>
              </w:rPr>
            </w:pPr>
            <w:bookmarkStart w:id="3" w:name="_Toc112567501"/>
            <w:bookmarkStart w:id="4" w:name="_Toc76448822"/>
            <w:bookmarkStart w:id="5" w:name="_Toc73434344"/>
            <w:bookmarkStart w:id="6" w:name="_Toc73434231"/>
            <w:bookmarkEnd w:id="3"/>
            <w:bookmarkEnd w:id="4"/>
            <w:bookmarkEnd w:id="5"/>
            <w:bookmarkEnd w:id="6"/>
            <w:r w:rsidRPr="00E81174">
              <w:rPr>
                <w:bCs/>
                <w:lang w:val="lt-LT" w:eastAsia="zh-CN"/>
              </w:rPr>
              <w:t>Kaina be PVM*</w:t>
            </w:r>
          </w:p>
        </w:tc>
      </w:tr>
      <w:tr w:rsidR="00017180" w:rsidRPr="00D33EB5" w14:paraId="4455F923" w14:textId="77777777" w:rsidTr="00017180">
        <w:trPr>
          <w:cantSplit/>
          <w:trHeight w:val="372"/>
        </w:trPr>
        <w:tc>
          <w:tcPr>
            <w:tcW w:w="395" w:type="pct"/>
            <w:tcMar>
              <w:top w:w="0" w:type="dxa"/>
              <w:left w:w="108" w:type="dxa"/>
              <w:bottom w:w="0" w:type="dxa"/>
              <w:right w:w="108" w:type="dxa"/>
            </w:tcMar>
            <w:vAlign w:val="center"/>
          </w:tcPr>
          <w:p w14:paraId="34927169" w14:textId="5B758F80" w:rsidR="00017180" w:rsidRPr="00D33EB5" w:rsidRDefault="000F214A" w:rsidP="004475CA">
            <w:pPr>
              <w:ind w:right="-113"/>
              <w:jc w:val="center"/>
              <w:rPr>
                <w:b/>
                <w:lang w:val="lt-LT" w:eastAsia="zh-CN"/>
              </w:rPr>
            </w:pPr>
            <w:r w:rsidRPr="00D33EB5">
              <w:rPr>
                <w:b/>
                <w:lang w:val="lt-LT" w:eastAsia="zh-CN"/>
              </w:rPr>
              <w:t>1.</w:t>
            </w:r>
          </w:p>
        </w:tc>
        <w:tc>
          <w:tcPr>
            <w:tcW w:w="3680" w:type="pct"/>
            <w:tcMar>
              <w:top w:w="0" w:type="dxa"/>
              <w:left w:w="108" w:type="dxa"/>
              <w:bottom w:w="0" w:type="dxa"/>
              <w:right w:w="108" w:type="dxa"/>
            </w:tcMar>
            <w:vAlign w:val="center"/>
          </w:tcPr>
          <w:p w14:paraId="7115A2D5" w14:textId="00E8F730" w:rsidR="00017180" w:rsidRPr="00D33EB5" w:rsidRDefault="00D33EB5" w:rsidP="00D33EB5">
            <w:pPr>
              <w:keepNext/>
              <w:keepLines/>
              <w:tabs>
                <w:tab w:val="left" w:pos="1296"/>
              </w:tabs>
              <w:ind w:left="73"/>
              <w:outlineLvl w:val="4"/>
              <w:rPr>
                <w:b/>
                <w:lang w:val="lt-LT" w:eastAsia="zh-CN"/>
              </w:rPr>
            </w:pPr>
            <w:r w:rsidRPr="00D33EB5">
              <w:rPr>
                <w:b/>
                <w:lang w:val="lt-LT" w:eastAsia="zh-CN"/>
              </w:rPr>
              <w:t>Tvarkybos darbai:</w:t>
            </w:r>
            <w:r>
              <w:rPr>
                <w:b/>
                <w:lang w:val="lt-LT" w:eastAsia="zh-CN"/>
              </w:rPr>
              <w:t xml:space="preserve"> </w:t>
            </w:r>
          </w:p>
        </w:tc>
        <w:tc>
          <w:tcPr>
            <w:tcW w:w="925" w:type="pct"/>
            <w:tcMar>
              <w:top w:w="0" w:type="dxa"/>
              <w:left w:w="108" w:type="dxa"/>
              <w:bottom w:w="0" w:type="dxa"/>
              <w:right w:w="108" w:type="dxa"/>
            </w:tcMar>
            <w:vAlign w:val="center"/>
          </w:tcPr>
          <w:p w14:paraId="6614BAFA" w14:textId="77987092" w:rsidR="00017180" w:rsidRPr="00D33EB5" w:rsidRDefault="00C9374F" w:rsidP="0007393B">
            <w:pPr>
              <w:jc w:val="center"/>
              <w:rPr>
                <w:b/>
                <w:lang w:val="lt-LT" w:eastAsia="zh-CN"/>
              </w:rPr>
            </w:pPr>
            <w:r>
              <w:rPr>
                <w:b/>
                <w:lang w:val="lt-LT" w:eastAsia="zh-CN"/>
              </w:rPr>
              <w:t>--------</w:t>
            </w:r>
          </w:p>
        </w:tc>
      </w:tr>
      <w:tr w:rsidR="00017180" w:rsidRPr="00C62448" w14:paraId="4605A89B" w14:textId="77777777" w:rsidTr="00017180">
        <w:trPr>
          <w:cantSplit/>
          <w:trHeight w:val="372"/>
        </w:trPr>
        <w:tc>
          <w:tcPr>
            <w:tcW w:w="395" w:type="pct"/>
            <w:tcMar>
              <w:top w:w="0" w:type="dxa"/>
              <w:left w:w="108" w:type="dxa"/>
              <w:bottom w:w="0" w:type="dxa"/>
              <w:right w:w="108" w:type="dxa"/>
            </w:tcMar>
            <w:vAlign w:val="center"/>
          </w:tcPr>
          <w:p w14:paraId="704E86DE" w14:textId="3ACBC152" w:rsidR="00017180" w:rsidRPr="00E81174" w:rsidRDefault="000F214A" w:rsidP="004475CA">
            <w:pPr>
              <w:ind w:right="-113"/>
              <w:jc w:val="center"/>
              <w:rPr>
                <w:bCs/>
                <w:lang w:val="lt-LT" w:eastAsia="zh-CN"/>
              </w:rPr>
            </w:pPr>
            <w:r w:rsidRPr="000F214A">
              <w:rPr>
                <w:bCs/>
                <w:lang w:val="lt-LT" w:eastAsia="zh-CN"/>
              </w:rPr>
              <w:t>1.1</w:t>
            </w:r>
          </w:p>
        </w:tc>
        <w:tc>
          <w:tcPr>
            <w:tcW w:w="3680" w:type="pct"/>
            <w:tcMar>
              <w:top w:w="0" w:type="dxa"/>
              <w:left w:w="108" w:type="dxa"/>
              <w:bottom w:w="0" w:type="dxa"/>
              <w:right w:w="108" w:type="dxa"/>
            </w:tcMar>
            <w:vAlign w:val="center"/>
          </w:tcPr>
          <w:p w14:paraId="0F98E0A5" w14:textId="694D8746" w:rsidR="00017180" w:rsidRPr="00C9374F" w:rsidRDefault="00772048" w:rsidP="00772048">
            <w:pPr>
              <w:keepNext/>
              <w:keepLines/>
              <w:tabs>
                <w:tab w:val="left" w:pos="1296"/>
              </w:tabs>
              <w:ind w:left="73"/>
              <w:outlineLvl w:val="4"/>
              <w:rPr>
                <w:bCs/>
                <w:lang w:val="lt-LT" w:eastAsia="zh-CN"/>
              </w:rPr>
            </w:pPr>
            <w:r w:rsidRPr="00C9374F">
              <w:rPr>
                <w:lang w:val="lt-LT"/>
              </w:rPr>
              <w:t>Remontas</w:t>
            </w:r>
            <w:r w:rsidR="004475CA" w:rsidRPr="00C9374F">
              <w:rPr>
                <w:lang w:val="lt-LT"/>
              </w:rPr>
              <w:t>.</w:t>
            </w:r>
          </w:p>
        </w:tc>
        <w:tc>
          <w:tcPr>
            <w:tcW w:w="925" w:type="pct"/>
            <w:tcMar>
              <w:top w:w="0" w:type="dxa"/>
              <w:left w:w="108" w:type="dxa"/>
              <w:bottom w:w="0" w:type="dxa"/>
              <w:right w:w="108" w:type="dxa"/>
            </w:tcMar>
            <w:vAlign w:val="center"/>
          </w:tcPr>
          <w:p w14:paraId="76EEE64A" w14:textId="77777777" w:rsidR="00017180" w:rsidRPr="00E81174" w:rsidRDefault="00017180" w:rsidP="0007393B">
            <w:pPr>
              <w:jc w:val="center"/>
              <w:rPr>
                <w:bCs/>
                <w:lang w:val="lt-LT" w:eastAsia="zh-CN"/>
              </w:rPr>
            </w:pPr>
          </w:p>
        </w:tc>
      </w:tr>
      <w:tr w:rsidR="00017180" w:rsidRPr="00AF5375" w14:paraId="73BD6A5B" w14:textId="77777777" w:rsidTr="00017180">
        <w:trPr>
          <w:cantSplit/>
          <w:trHeight w:val="372"/>
        </w:trPr>
        <w:tc>
          <w:tcPr>
            <w:tcW w:w="395" w:type="pct"/>
            <w:tcMar>
              <w:top w:w="0" w:type="dxa"/>
              <w:left w:w="108" w:type="dxa"/>
              <w:bottom w:w="0" w:type="dxa"/>
              <w:right w:w="108" w:type="dxa"/>
            </w:tcMar>
            <w:vAlign w:val="center"/>
          </w:tcPr>
          <w:p w14:paraId="1E26B948" w14:textId="19E0AAD3" w:rsidR="00017180" w:rsidRPr="00E81174" w:rsidRDefault="000F214A" w:rsidP="004475CA">
            <w:pPr>
              <w:ind w:right="-113"/>
              <w:jc w:val="center"/>
              <w:rPr>
                <w:bCs/>
                <w:lang w:val="lt-LT" w:eastAsia="zh-CN"/>
              </w:rPr>
            </w:pPr>
            <w:r w:rsidRPr="000F214A">
              <w:rPr>
                <w:bCs/>
                <w:lang w:val="lt-LT" w:eastAsia="zh-CN"/>
              </w:rPr>
              <w:t>1.2</w:t>
            </w:r>
          </w:p>
        </w:tc>
        <w:tc>
          <w:tcPr>
            <w:tcW w:w="3680" w:type="pct"/>
            <w:tcMar>
              <w:top w:w="0" w:type="dxa"/>
              <w:left w:w="108" w:type="dxa"/>
              <w:bottom w:w="0" w:type="dxa"/>
              <w:right w:w="108" w:type="dxa"/>
            </w:tcMar>
            <w:vAlign w:val="center"/>
          </w:tcPr>
          <w:p w14:paraId="0837235A" w14:textId="77777777" w:rsidR="00DC0201" w:rsidRPr="00DC0201" w:rsidRDefault="00DC0201" w:rsidP="00414520">
            <w:pPr>
              <w:keepNext/>
              <w:keepLines/>
              <w:tabs>
                <w:tab w:val="left" w:pos="1296"/>
              </w:tabs>
              <w:ind w:left="73"/>
              <w:jc w:val="both"/>
              <w:outlineLvl w:val="4"/>
              <w:rPr>
                <w:bCs/>
                <w:lang w:val="lt-LT" w:eastAsia="zh-CN"/>
              </w:rPr>
            </w:pPr>
            <w:r w:rsidRPr="00DC0201">
              <w:rPr>
                <w:bCs/>
                <w:lang w:val="lt-LT" w:eastAsia="zh-CN"/>
              </w:rPr>
              <w:t xml:space="preserve">Avarijos grėsmės pašalinimas – apsaugos techninių priemonių įrengimas. </w:t>
            </w:r>
          </w:p>
          <w:p w14:paraId="4E9EBEC5" w14:textId="5E4B85A2" w:rsidR="00017180" w:rsidRPr="00E81174" w:rsidRDefault="00DC0201" w:rsidP="00414520">
            <w:pPr>
              <w:keepNext/>
              <w:keepLines/>
              <w:tabs>
                <w:tab w:val="left" w:pos="1296"/>
              </w:tabs>
              <w:ind w:left="73"/>
              <w:jc w:val="both"/>
              <w:outlineLvl w:val="4"/>
              <w:rPr>
                <w:bCs/>
                <w:lang w:val="lt-LT" w:eastAsia="zh-CN"/>
              </w:rPr>
            </w:pPr>
            <w:r w:rsidRPr="00DC0201">
              <w:rPr>
                <w:bCs/>
                <w:lang w:val="lt-LT" w:eastAsia="zh-CN"/>
              </w:rPr>
              <w:t>Sudėtingų vitražų -  Nr. 9, Nr.11, Nr.13, Nr.18 apsaugos techninių priemonių įrengimas</w:t>
            </w:r>
            <w:r w:rsidR="004475CA">
              <w:rPr>
                <w:bCs/>
                <w:lang w:val="lt-LT" w:eastAsia="zh-CN"/>
              </w:rPr>
              <w:t>.</w:t>
            </w:r>
          </w:p>
        </w:tc>
        <w:tc>
          <w:tcPr>
            <w:tcW w:w="925" w:type="pct"/>
            <w:tcMar>
              <w:top w:w="0" w:type="dxa"/>
              <w:left w:w="108" w:type="dxa"/>
              <w:bottom w:w="0" w:type="dxa"/>
              <w:right w:w="108" w:type="dxa"/>
            </w:tcMar>
            <w:vAlign w:val="center"/>
          </w:tcPr>
          <w:p w14:paraId="3B096D93" w14:textId="77777777" w:rsidR="00017180" w:rsidRPr="00E81174" w:rsidRDefault="00017180" w:rsidP="0007393B">
            <w:pPr>
              <w:jc w:val="center"/>
              <w:rPr>
                <w:bCs/>
                <w:lang w:val="lt-LT" w:eastAsia="zh-CN"/>
              </w:rPr>
            </w:pPr>
          </w:p>
        </w:tc>
      </w:tr>
      <w:tr w:rsidR="00017180" w:rsidRPr="00AF5375" w14:paraId="0EEAF9DB" w14:textId="77777777" w:rsidTr="00017180">
        <w:trPr>
          <w:cantSplit/>
          <w:trHeight w:val="372"/>
        </w:trPr>
        <w:tc>
          <w:tcPr>
            <w:tcW w:w="395" w:type="pct"/>
            <w:tcMar>
              <w:top w:w="0" w:type="dxa"/>
              <w:left w:w="108" w:type="dxa"/>
              <w:bottom w:w="0" w:type="dxa"/>
              <w:right w:w="108" w:type="dxa"/>
            </w:tcMar>
            <w:vAlign w:val="center"/>
          </w:tcPr>
          <w:p w14:paraId="70FF2024" w14:textId="198BA45F" w:rsidR="00017180" w:rsidRPr="00E81174" w:rsidRDefault="00F12EB8" w:rsidP="004475CA">
            <w:pPr>
              <w:ind w:right="-113"/>
              <w:jc w:val="center"/>
              <w:rPr>
                <w:bCs/>
                <w:lang w:val="lt-LT" w:eastAsia="zh-CN"/>
              </w:rPr>
            </w:pPr>
            <w:r w:rsidRPr="00F12EB8">
              <w:rPr>
                <w:bCs/>
                <w:lang w:val="lt-LT" w:eastAsia="zh-CN"/>
              </w:rPr>
              <w:lastRenderedPageBreak/>
              <w:t>1.3</w:t>
            </w:r>
          </w:p>
        </w:tc>
        <w:tc>
          <w:tcPr>
            <w:tcW w:w="3680" w:type="pct"/>
            <w:tcMar>
              <w:top w:w="0" w:type="dxa"/>
              <w:left w:w="108" w:type="dxa"/>
              <w:bottom w:w="0" w:type="dxa"/>
              <w:right w:w="108" w:type="dxa"/>
            </w:tcMar>
            <w:vAlign w:val="center"/>
          </w:tcPr>
          <w:p w14:paraId="3EB77489" w14:textId="77777777" w:rsidR="00414520" w:rsidRPr="00414520" w:rsidRDefault="00414520" w:rsidP="00414520">
            <w:pPr>
              <w:keepNext/>
              <w:keepLines/>
              <w:tabs>
                <w:tab w:val="left" w:pos="1296"/>
              </w:tabs>
              <w:ind w:left="73"/>
              <w:jc w:val="both"/>
              <w:outlineLvl w:val="4"/>
              <w:rPr>
                <w:bCs/>
                <w:lang w:val="lt-LT" w:eastAsia="zh-CN"/>
              </w:rPr>
            </w:pPr>
            <w:r w:rsidRPr="00414520">
              <w:rPr>
                <w:bCs/>
                <w:lang w:val="lt-LT" w:eastAsia="zh-CN"/>
              </w:rPr>
              <w:t xml:space="preserve">Avarijos grėsmės pašalinimas – apsaugos techninių priemonių įrengimas. </w:t>
            </w:r>
          </w:p>
          <w:p w14:paraId="0680FC11" w14:textId="7F743869" w:rsidR="00017180" w:rsidRPr="00E81174" w:rsidRDefault="00414520" w:rsidP="00414520">
            <w:pPr>
              <w:keepNext/>
              <w:keepLines/>
              <w:tabs>
                <w:tab w:val="left" w:pos="1296"/>
              </w:tabs>
              <w:ind w:left="73"/>
              <w:jc w:val="both"/>
              <w:outlineLvl w:val="4"/>
              <w:rPr>
                <w:bCs/>
                <w:lang w:val="lt-LT" w:eastAsia="zh-CN"/>
              </w:rPr>
            </w:pPr>
            <w:r w:rsidRPr="00414520">
              <w:rPr>
                <w:bCs/>
                <w:lang w:val="lt-LT" w:eastAsia="zh-CN"/>
              </w:rPr>
              <w:t>Vidutinio sudėtingumo vitražų -  Nr.1, Nr.,2, Nr.3,Nr.4, Nr.5, Nr.6, Nr.7, Nr.8, Nr.10, Nr.12, Nr17, Nr.19, Nr.20, Nr.21, Nr.22,  apsaugos techninių priemonių įrengimas</w:t>
            </w:r>
            <w:r>
              <w:rPr>
                <w:bCs/>
                <w:lang w:val="lt-LT" w:eastAsia="zh-CN"/>
              </w:rPr>
              <w:t>.</w:t>
            </w:r>
          </w:p>
        </w:tc>
        <w:tc>
          <w:tcPr>
            <w:tcW w:w="925" w:type="pct"/>
            <w:tcMar>
              <w:top w:w="0" w:type="dxa"/>
              <w:left w:w="108" w:type="dxa"/>
              <w:bottom w:w="0" w:type="dxa"/>
              <w:right w:w="108" w:type="dxa"/>
            </w:tcMar>
            <w:vAlign w:val="center"/>
          </w:tcPr>
          <w:p w14:paraId="1D52DCBD" w14:textId="77777777" w:rsidR="00017180" w:rsidRPr="00E81174" w:rsidRDefault="00017180" w:rsidP="0007393B">
            <w:pPr>
              <w:jc w:val="center"/>
              <w:rPr>
                <w:bCs/>
                <w:lang w:val="lt-LT" w:eastAsia="zh-CN"/>
              </w:rPr>
            </w:pPr>
          </w:p>
        </w:tc>
      </w:tr>
      <w:tr w:rsidR="00017180" w:rsidRPr="00AF5375" w14:paraId="2A6C8FA7" w14:textId="77777777" w:rsidTr="00017180">
        <w:trPr>
          <w:cantSplit/>
          <w:trHeight w:val="372"/>
        </w:trPr>
        <w:tc>
          <w:tcPr>
            <w:tcW w:w="395" w:type="pct"/>
            <w:tcMar>
              <w:top w:w="0" w:type="dxa"/>
              <w:left w:w="108" w:type="dxa"/>
              <w:bottom w:w="0" w:type="dxa"/>
              <w:right w:w="108" w:type="dxa"/>
            </w:tcMar>
            <w:vAlign w:val="center"/>
          </w:tcPr>
          <w:p w14:paraId="19390A35" w14:textId="084FB51F" w:rsidR="00017180" w:rsidRPr="00E81174" w:rsidRDefault="00F12EB8" w:rsidP="004475CA">
            <w:pPr>
              <w:ind w:right="-113"/>
              <w:jc w:val="center"/>
              <w:rPr>
                <w:bCs/>
                <w:lang w:val="lt-LT" w:eastAsia="zh-CN"/>
              </w:rPr>
            </w:pPr>
            <w:r w:rsidRPr="00F12EB8">
              <w:rPr>
                <w:bCs/>
                <w:lang w:val="lt-LT" w:eastAsia="zh-CN"/>
              </w:rPr>
              <w:t>1.4</w:t>
            </w:r>
          </w:p>
        </w:tc>
        <w:tc>
          <w:tcPr>
            <w:tcW w:w="3680" w:type="pct"/>
            <w:tcMar>
              <w:top w:w="0" w:type="dxa"/>
              <w:left w:w="108" w:type="dxa"/>
              <w:bottom w:w="0" w:type="dxa"/>
              <w:right w:w="108" w:type="dxa"/>
            </w:tcMar>
            <w:vAlign w:val="center"/>
          </w:tcPr>
          <w:p w14:paraId="54F4FBF9" w14:textId="77777777" w:rsidR="004475CA" w:rsidRPr="004475CA" w:rsidRDefault="004475CA" w:rsidP="004475CA">
            <w:pPr>
              <w:keepNext/>
              <w:keepLines/>
              <w:tabs>
                <w:tab w:val="left" w:pos="1296"/>
              </w:tabs>
              <w:ind w:left="73"/>
              <w:jc w:val="both"/>
              <w:outlineLvl w:val="4"/>
              <w:rPr>
                <w:bCs/>
                <w:lang w:val="lt-LT" w:eastAsia="zh-CN"/>
              </w:rPr>
            </w:pPr>
            <w:r w:rsidRPr="004475CA">
              <w:rPr>
                <w:bCs/>
                <w:lang w:val="lt-LT" w:eastAsia="zh-CN"/>
              </w:rPr>
              <w:t xml:space="preserve">Avarijos grėsmės pašalinimas – apsaugos techninių priemonių įrengimas. </w:t>
            </w:r>
          </w:p>
          <w:p w14:paraId="3C49659A" w14:textId="125285B3" w:rsidR="00017180" w:rsidRPr="00E81174" w:rsidRDefault="004475CA" w:rsidP="004475CA">
            <w:pPr>
              <w:keepNext/>
              <w:keepLines/>
              <w:tabs>
                <w:tab w:val="left" w:pos="1296"/>
              </w:tabs>
              <w:ind w:left="73"/>
              <w:jc w:val="both"/>
              <w:outlineLvl w:val="4"/>
              <w:rPr>
                <w:bCs/>
                <w:lang w:val="lt-LT" w:eastAsia="zh-CN"/>
              </w:rPr>
            </w:pPr>
            <w:r w:rsidRPr="004475CA">
              <w:rPr>
                <w:bCs/>
                <w:lang w:val="lt-LT" w:eastAsia="zh-CN"/>
              </w:rPr>
              <w:t>Paprasto sudėtingumo stambių vitražų - Nr.14, Nr.16 apsaugos techninių priemonių įrengimas</w:t>
            </w:r>
            <w:r>
              <w:rPr>
                <w:bCs/>
                <w:lang w:val="lt-LT" w:eastAsia="zh-CN"/>
              </w:rPr>
              <w:t>.</w:t>
            </w:r>
          </w:p>
        </w:tc>
        <w:tc>
          <w:tcPr>
            <w:tcW w:w="925" w:type="pct"/>
            <w:tcMar>
              <w:top w:w="0" w:type="dxa"/>
              <w:left w:w="108" w:type="dxa"/>
              <w:bottom w:w="0" w:type="dxa"/>
              <w:right w:w="108" w:type="dxa"/>
            </w:tcMar>
            <w:vAlign w:val="center"/>
          </w:tcPr>
          <w:p w14:paraId="66CB9052" w14:textId="77777777" w:rsidR="00017180" w:rsidRPr="00E81174" w:rsidRDefault="00017180" w:rsidP="0007393B">
            <w:pPr>
              <w:jc w:val="center"/>
              <w:rPr>
                <w:bCs/>
                <w:lang w:val="lt-LT" w:eastAsia="zh-CN"/>
              </w:rPr>
            </w:pPr>
          </w:p>
        </w:tc>
      </w:tr>
      <w:tr w:rsidR="00017180" w:rsidRPr="00C62448" w14:paraId="51CC9134" w14:textId="77777777" w:rsidTr="00017180">
        <w:trPr>
          <w:cantSplit/>
          <w:trHeight w:val="372"/>
        </w:trPr>
        <w:tc>
          <w:tcPr>
            <w:tcW w:w="395" w:type="pct"/>
            <w:tcMar>
              <w:top w:w="0" w:type="dxa"/>
              <w:left w:w="108" w:type="dxa"/>
              <w:bottom w:w="0" w:type="dxa"/>
              <w:right w:w="108" w:type="dxa"/>
            </w:tcMar>
            <w:vAlign w:val="center"/>
          </w:tcPr>
          <w:p w14:paraId="3EC0BC5F" w14:textId="77777777" w:rsidR="00017180" w:rsidRPr="00E81174" w:rsidRDefault="00017180" w:rsidP="004475CA">
            <w:pPr>
              <w:ind w:right="-113"/>
              <w:jc w:val="center"/>
              <w:rPr>
                <w:bCs/>
                <w:lang w:val="lt-LT" w:eastAsia="zh-CN"/>
              </w:rPr>
            </w:pPr>
          </w:p>
        </w:tc>
        <w:tc>
          <w:tcPr>
            <w:tcW w:w="3680" w:type="pct"/>
            <w:tcMar>
              <w:top w:w="0" w:type="dxa"/>
              <w:left w:w="108" w:type="dxa"/>
              <w:bottom w:w="0" w:type="dxa"/>
              <w:right w:w="108" w:type="dxa"/>
            </w:tcMar>
            <w:vAlign w:val="center"/>
          </w:tcPr>
          <w:p w14:paraId="03074F66" w14:textId="7935CA9B" w:rsidR="00017180" w:rsidRPr="00E81174" w:rsidRDefault="00C87E96" w:rsidP="00C87E96">
            <w:pPr>
              <w:keepNext/>
              <w:keepLines/>
              <w:tabs>
                <w:tab w:val="left" w:pos="1296"/>
              </w:tabs>
              <w:ind w:left="73"/>
              <w:jc w:val="right"/>
              <w:outlineLvl w:val="4"/>
              <w:rPr>
                <w:bCs/>
                <w:lang w:val="lt-LT" w:eastAsia="zh-CN"/>
              </w:rPr>
            </w:pPr>
            <w:r w:rsidRPr="00C87E96">
              <w:rPr>
                <w:bCs/>
                <w:lang w:val="lt-LT" w:eastAsia="zh-CN"/>
              </w:rPr>
              <w:t>Suma be PVM (Eur)*:</w:t>
            </w:r>
          </w:p>
        </w:tc>
        <w:tc>
          <w:tcPr>
            <w:tcW w:w="925" w:type="pct"/>
            <w:tcMar>
              <w:top w:w="0" w:type="dxa"/>
              <w:left w:w="108" w:type="dxa"/>
              <w:bottom w:w="0" w:type="dxa"/>
              <w:right w:w="108" w:type="dxa"/>
            </w:tcMar>
            <w:vAlign w:val="center"/>
          </w:tcPr>
          <w:p w14:paraId="4A7DA916" w14:textId="77777777" w:rsidR="00017180" w:rsidRPr="00E81174" w:rsidRDefault="00017180" w:rsidP="0007393B">
            <w:pPr>
              <w:jc w:val="center"/>
              <w:rPr>
                <w:bCs/>
                <w:lang w:val="lt-LT" w:eastAsia="zh-CN"/>
              </w:rPr>
            </w:pPr>
          </w:p>
        </w:tc>
      </w:tr>
      <w:tr w:rsidR="00017180" w:rsidRPr="00C62448" w14:paraId="427A7AB9" w14:textId="77777777" w:rsidTr="00017180">
        <w:trPr>
          <w:cantSplit/>
          <w:trHeight w:val="406"/>
        </w:trPr>
        <w:tc>
          <w:tcPr>
            <w:tcW w:w="395" w:type="pct"/>
            <w:tcMar>
              <w:top w:w="0" w:type="dxa"/>
              <w:left w:w="108" w:type="dxa"/>
              <w:bottom w:w="0" w:type="dxa"/>
              <w:right w:w="108" w:type="dxa"/>
            </w:tcMar>
            <w:vAlign w:val="center"/>
          </w:tcPr>
          <w:p w14:paraId="395165D2" w14:textId="77777777" w:rsidR="00017180" w:rsidRPr="00E81174" w:rsidRDefault="00017180" w:rsidP="004475CA">
            <w:pPr>
              <w:ind w:right="-113"/>
              <w:jc w:val="center"/>
              <w:rPr>
                <w:bCs/>
                <w:lang w:val="lt-LT" w:eastAsia="zh-CN"/>
              </w:rPr>
            </w:pPr>
          </w:p>
        </w:tc>
        <w:tc>
          <w:tcPr>
            <w:tcW w:w="3680" w:type="pct"/>
            <w:tcMar>
              <w:top w:w="0" w:type="dxa"/>
              <w:left w:w="108" w:type="dxa"/>
              <w:bottom w:w="0" w:type="dxa"/>
              <w:right w:w="108" w:type="dxa"/>
            </w:tcMar>
            <w:vAlign w:val="center"/>
          </w:tcPr>
          <w:p w14:paraId="02BC006F" w14:textId="24E961C8" w:rsidR="00017180" w:rsidRPr="00E81174" w:rsidRDefault="00C87E96" w:rsidP="00C87E96">
            <w:pPr>
              <w:keepNext/>
              <w:keepLines/>
              <w:tabs>
                <w:tab w:val="left" w:pos="1296"/>
              </w:tabs>
              <w:ind w:left="73"/>
              <w:jc w:val="right"/>
              <w:outlineLvl w:val="4"/>
              <w:rPr>
                <w:bCs/>
                <w:lang w:val="lt-LT" w:eastAsia="zh-CN"/>
              </w:rPr>
            </w:pPr>
            <w:r w:rsidRPr="00C87E96">
              <w:rPr>
                <w:bCs/>
                <w:lang w:val="lt-LT" w:eastAsia="zh-CN"/>
              </w:rPr>
              <w:t>PVM 21%*:</w:t>
            </w:r>
          </w:p>
        </w:tc>
        <w:tc>
          <w:tcPr>
            <w:tcW w:w="925" w:type="pct"/>
            <w:tcMar>
              <w:top w:w="0" w:type="dxa"/>
              <w:left w:w="108" w:type="dxa"/>
              <w:bottom w:w="0" w:type="dxa"/>
              <w:right w:w="108" w:type="dxa"/>
            </w:tcMar>
            <w:vAlign w:val="center"/>
          </w:tcPr>
          <w:p w14:paraId="01695F52" w14:textId="77777777" w:rsidR="00017180" w:rsidRPr="00E81174" w:rsidRDefault="00017180" w:rsidP="0007393B">
            <w:pPr>
              <w:jc w:val="center"/>
              <w:rPr>
                <w:bCs/>
                <w:lang w:val="lt-LT" w:eastAsia="zh-CN"/>
              </w:rPr>
            </w:pPr>
          </w:p>
        </w:tc>
      </w:tr>
      <w:tr w:rsidR="00F12EB8" w:rsidRPr="00AF5375" w14:paraId="25EA7588" w14:textId="77777777" w:rsidTr="00017180">
        <w:trPr>
          <w:cantSplit/>
          <w:trHeight w:val="406"/>
        </w:trPr>
        <w:tc>
          <w:tcPr>
            <w:tcW w:w="395" w:type="pct"/>
            <w:tcMar>
              <w:top w:w="0" w:type="dxa"/>
              <w:left w:w="108" w:type="dxa"/>
              <w:bottom w:w="0" w:type="dxa"/>
              <w:right w:w="108" w:type="dxa"/>
            </w:tcMar>
            <w:vAlign w:val="center"/>
          </w:tcPr>
          <w:p w14:paraId="3FFF6231" w14:textId="77777777" w:rsidR="00F12EB8" w:rsidRPr="00E81174" w:rsidRDefault="00F12EB8" w:rsidP="004475CA">
            <w:pPr>
              <w:ind w:right="-113"/>
              <w:jc w:val="center"/>
              <w:rPr>
                <w:bCs/>
                <w:lang w:val="lt-LT" w:eastAsia="zh-CN"/>
              </w:rPr>
            </w:pPr>
          </w:p>
        </w:tc>
        <w:tc>
          <w:tcPr>
            <w:tcW w:w="3680" w:type="pct"/>
            <w:tcMar>
              <w:top w:w="0" w:type="dxa"/>
              <w:left w:w="108" w:type="dxa"/>
              <w:bottom w:w="0" w:type="dxa"/>
              <w:right w:w="108" w:type="dxa"/>
            </w:tcMar>
            <w:vAlign w:val="center"/>
          </w:tcPr>
          <w:p w14:paraId="4366C6EB" w14:textId="51919E81" w:rsidR="00F12EB8" w:rsidRPr="00E81174" w:rsidRDefault="00C62FB9" w:rsidP="00C62FB9">
            <w:pPr>
              <w:keepNext/>
              <w:keepLines/>
              <w:tabs>
                <w:tab w:val="left" w:pos="1296"/>
              </w:tabs>
              <w:ind w:left="73"/>
              <w:jc w:val="right"/>
              <w:outlineLvl w:val="4"/>
              <w:rPr>
                <w:bCs/>
                <w:lang w:val="lt-LT" w:eastAsia="zh-CN"/>
              </w:rPr>
            </w:pPr>
            <w:r w:rsidRPr="00C62FB9">
              <w:rPr>
                <w:bCs/>
                <w:lang w:val="lt-LT" w:eastAsia="zh-CN"/>
              </w:rPr>
              <w:t>Bendra suma su PVM (Eur)*:</w:t>
            </w:r>
          </w:p>
        </w:tc>
        <w:tc>
          <w:tcPr>
            <w:tcW w:w="925" w:type="pct"/>
            <w:tcMar>
              <w:top w:w="0" w:type="dxa"/>
              <w:left w:w="108" w:type="dxa"/>
              <w:bottom w:w="0" w:type="dxa"/>
              <w:right w:w="108" w:type="dxa"/>
            </w:tcMar>
            <w:vAlign w:val="center"/>
          </w:tcPr>
          <w:p w14:paraId="58EA0C65" w14:textId="77777777" w:rsidR="00F12EB8" w:rsidRPr="00E81174" w:rsidRDefault="00F12EB8" w:rsidP="0007393B">
            <w:pPr>
              <w:jc w:val="center"/>
              <w:rPr>
                <w:bCs/>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AF5375"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330B0D1"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 xml:space="preserve">Pateikiami dokumentai, nurodyti konkurso </w:t>
            </w:r>
            <w:r w:rsidRPr="001D6A27">
              <w:rPr>
                <w:rFonts w:eastAsia="Times New Roman"/>
                <w:b/>
                <w:iCs/>
                <w:color w:val="000000" w:themeColor="text1"/>
                <w:lang w:val="lt-LT"/>
              </w:rPr>
              <w:t xml:space="preserve">sąlygų </w:t>
            </w:r>
            <w:r w:rsidR="00AF5375">
              <w:rPr>
                <w:rFonts w:eastAsia="Times New Roman"/>
                <w:b/>
                <w:iCs/>
                <w:color w:val="000000" w:themeColor="text1"/>
                <w:lang w:val="lt-LT"/>
              </w:rPr>
              <w:t>11</w:t>
            </w:r>
            <w:r w:rsidRPr="001D6A27">
              <w:rPr>
                <w:rFonts w:eastAsia="Times New Roman"/>
                <w:b/>
                <w:iCs/>
                <w:color w:val="000000" w:themeColor="text1"/>
                <w:lang w:val="lt-LT"/>
              </w:rPr>
              <w:t xml:space="preserve">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lastRenderedPageBreak/>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AF5375"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AF5375"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xml:space="preserve">. Jeigu tiekėjas nurodo, kad sutarties vykdymui bus pasitelkti fiziniai asmenys (specialistai), kuriuos tiekėjas ketina įdarbinti pirkimo laimėjimo atveju ir kurių pajėgumais remsis, kad atitikti kvalifikacijos reikalavimus, tuomet tiekėjas privalo pateikti ketinimų protokolų </w:t>
      </w:r>
      <w:r w:rsidRPr="00080689">
        <w:rPr>
          <w:bCs/>
          <w:i/>
          <w:color w:val="000000" w:themeColor="text1"/>
          <w:lang w:val="lt-LT"/>
        </w:rPr>
        <w:lastRenderedPageBreak/>
        <w:t>(susitarimų)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64DA363D" w14:textId="77777777" w:rsidR="00C62448" w:rsidRDefault="00C62448" w:rsidP="00080689">
      <w:pPr>
        <w:ind w:firstLine="567"/>
        <w:jc w:val="both"/>
        <w:rPr>
          <w:rFonts w:eastAsia="Times New Roman"/>
          <w:color w:val="000000" w:themeColor="text1"/>
          <w:lang w:val="lt-LT"/>
        </w:rPr>
      </w:pPr>
    </w:p>
    <w:p w14:paraId="42330203" w14:textId="2D3EFF70"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AF5375"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AF5375"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1767AD">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6F89"/>
    <w:multiLevelType w:val="hybridMultilevel"/>
    <w:tmpl w:val="33FCD8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407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17180"/>
    <w:rsid w:val="00030126"/>
    <w:rsid w:val="00035013"/>
    <w:rsid w:val="00080689"/>
    <w:rsid w:val="00092A8F"/>
    <w:rsid w:val="000B384E"/>
    <w:rsid w:val="000C4959"/>
    <w:rsid w:val="000C7DF6"/>
    <w:rsid w:val="000F214A"/>
    <w:rsid w:val="001134D3"/>
    <w:rsid w:val="00137C0D"/>
    <w:rsid w:val="00155B18"/>
    <w:rsid w:val="001570A6"/>
    <w:rsid w:val="00166DDE"/>
    <w:rsid w:val="001767AD"/>
    <w:rsid w:val="00180756"/>
    <w:rsid w:val="00187A19"/>
    <w:rsid w:val="001A21BC"/>
    <w:rsid w:val="001B084F"/>
    <w:rsid w:val="001D524A"/>
    <w:rsid w:val="001D6A27"/>
    <w:rsid w:val="001E2014"/>
    <w:rsid w:val="00207F13"/>
    <w:rsid w:val="0021763C"/>
    <w:rsid w:val="00246269"/>
    <w:rsid w:val="00255657"/>
    <w:rsid w:val="002760AF"/>
    <w:rsid w:val="002B3F08"/>
    <w:rsid w:val="002D2AE1"/>
    <w:rsid w:val="002D54C4"/>
    <w:rsid w:val="002D5CF3"/>
    <w:rsid w:val="00312D5E"/>
    <w:rsid w:val="00314CAA"/>
    <w:rsid w:val="003244CD"/>
    <w:rsid w:val="00325730"/>
    <w:rsid w:val="00331421"/>
    <w:rsid w:val="00346909"/>
    <w:rsid w:val="00362F0B"/>
    <w:rsid w:val="0037309E"/>
    <w:rsid w:val="00376CAD"/>
    <w:rsid w:val="003B4774"/>
    <w:rsid w:val="003B69EE"/>
    <w:rsid w:val="003E4EB3"/>
    <w:rsid w:val="00414520"/>
    <w:rsid w:val="004475CA"/>
    <w:rsid w:val="00447E19"/>
    <w:rsid w:val="00460915"/>
    <w:rsid w:val="00491579"/>
    <w:rsid w:val="004934CB"/>
    <w:rsid w:val="004C74CF"/>
    <w:rsid w:val="004D249C"/>
    <w:rsid w:val="004D3FD3"/>
    <w:rsid w:val="004D6399"/>
    <w:rsid w:val="004F1A81"/>
    <w:rsid w:val="0051274B"/>
    <w:rsid w:val="00540C3E"/>
    <w:rsid w:val="005651D4"/>
    <w:rsid w:val="00593892"/>
    <w:rsid w:val="005C2F69"/>
    <w:rsid w:val="005C4838"/>
    <w:rsid w:val="00607500"/>
    <w:rsid w:val="00623C80"/>
    <w:rsid w:val="006258BA"/>
    <w:rsid w:val="006445DB"/>
    <w:rsid w:val="00646A2D"/>
    <w:rsid w:val="006709A8"/>
    <w:rsid w:val="006A6AF6"/>
    <w:rsid w:val="006C6881"/>
    <w:rsid w:val="006E1255"/>
    <w:rsid w:val="006E150A"/>
    <w:rsid w:val="006E28F7"/>
    <w:rsid w:val="006F6D89"/>
    <w:rsid w:val="007137FE"/>
    <w:rsid w:val="00715B53"/>
    <w:rsid w:val="00715E1C"/>
    <w:rsid w:val="00757390"/>
    <w:rsid w:val="00772048"/>
    <w:rsid w:val="007745E3"/>
    <w:rsid w:val="007830B6"/>
    <w:rsid w:val="00783A02"/>
    <w:rsid w:val="00783AF9"/>
    <w:rsid w:val="00792675"/>
    <w:rsid w:val="007968FA"/>
    <w:rsid w:val="007A1B05"/>
    <w:rsid w:val="007E2F27"/>
    <w:rsid w:val="007F46C8"/>
    <w:rsid w:val="00811A31"/>
    <w:rsid w:val="008519AB"/>
    <w:rsid w:val="008A4462"/>
    <w:rsid w:val="008C19A1"/>
    <w:rsid w:val="008C3AC6"/>
    <w:rsid w:val="00907489"/>
    <w:rsid w:val="00914FF5"/>
    <w:rsid w:val="00917BC4"/>
    <w:rsid w:val="00932FE0"/>
    <w:rsid w:val="009373BE"/>
    <w:rsid w:val="00955972"/>
    <w:rsid w:val="00960232"/>
    <w:rsid w:val="00964C44"/>
    <w:rsid w:val="00965A71"/>
    <w:rsid w:val="009E165F"/>
    <w:rsid w:val="009E76C6"/>
    <w:rsid w:val="00A020F7"/>
    <w:rsid w:val="00A21E94"/>
    <w:rsid w:val="00A40A55"/>
    <w:rsid w:val="00A74ABE"/>
    <w:rsid w:val="00AA5BFC"/>
    <w:rsid w:val="00AB129D"/>
    <w:rsid w:val="00AC0D62"/>
    <w:rsid w:val="00AC6135"/>
    <w:rsid w:val="00AC6B64"/>
    <w:rsid w:val="00AE635A"/>
    <w:rsid w:val="00AE7D98"/>
    <w:rsid w:val="00AF5375"/>
    <w:rsid w:val="00B05368"/>
    <w:rsid w:val="00B065F3"/>
    <w:rsid w:val="00B175E9"/>
    <w:rsid w:val="00B45FBF"/>
    <w:rsid w:val="00B8019C"/>
    <w:rsid w:val="00B97CE0"/>
    <w:rsid w:val="00BB5BEC"/>
    <w:rsid w:val="00BE31ED"/>
    <w:rsid w:val="00BE6925"/>
    <w:rsid w:val="00BE7E19"/>
    <w:rsid w:val="00C066E7"/>
    <w:rsid w:val="00C20EFF"/>
    <w:rsid w:val="00C232EB"/>
    <w:rsid w:val="00C26A94"/>
    <w:rsid w:val="00C42BC3"/>
    <w:rsid w:val="00C54B4C"/>
    <w:rsid w:val="00C62448"/>
    <w:rsid w:val="00C62FB9"/>
    <w:rsid w:val="00C71A95"/>
    <w:rsid w:val="00C87E96"/>
    <w:rsid w:val="00C9374F"/>
    <w:rsid w:val="00CB3FD6"/>
    <w:rsid w:val="00CD0436"/>
    <w:rsid w:val="00CD6D6C"/>
    <w:rsid w:val="00CF65D7"/>
    <w:rsid w:val="00D13EE7"/>
    <w:rsid w:val="00D245C3"/>
    <w:rsid w:val="00D33EB5"/>
    <w:rsid w:val="00D42543"/>
    <w:rsid w:val="00D73564"/>
    <w:rsid w:val="00DB7714"/>
    <w:rsid w:val="00DC0201"/>
    <w:rsid w:val="00DE1FDC"/>
    <w:rsid w:val="00E03303"/>
    <w:rsid w:val="00E06ADE"/>
    <w:rsid w:val="00E1155F"/>
    <w:rsid w:val="00E23D4A"/>
    <w:rsid w:val="00E4778F"/>
    <w:rsid w:val="00E81174"/>
    <w:rsid w:val="00E9060F"/>
    <w:rsid w:val="00EA0A55"/>
    <w:rsid w:val="00EC7354"/>
    <w:rsid w:val="00ED30CE"/>
    <w:rsid w:val="00F01851"/>
    <w:rsid w:val="00F079B3"/>
    <w:rsid w:val="00F12EB8"/>
    <w:rsid w:val="00F56893"/>
    <w:rsid w:val="00F64493"/>
    <w:rsid w:val="00F67DD3"/>
    <w:rsid w:val="00F734C9"/>
    <w:rsid w:val="00F73FC4"/>
    <w:rsid w:val="00FC6F1C"/>
    <w:rsid w:val="00FE2F0B"/>
    <w:rsid w:val="00FF28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1546">
      <w:bodyDiv w:val="1"/>
      <w:marLeft w:val="0"/>
      <w:marRight w:val="0"/>
      <w:marTop w:val="0"/>
      <w:marBottom w:val="0"/>
      <w:divBdr>
        <w:top w:val="none" w:sz="0" w:space="0" w:color="auto"/>
        <w:left w:val="none" w:sz="0" w:space="0" w:color="auto"/>
        <w:bottom w:val="none" w:sz="0" w:space="0" w:color="auto"/>
        <w:right w:val="none" w:sz="0" w:space="0" w:color="auto"/>
      </w:divBdr>
    </w:div>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4978</Words>
  <Characters>2839</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2026-03-30T08:04:00Z</dcterms:created>
  <dcterms:modified xsi:type="dcterms:W3CDTF">2026-03-30T08:04:00Z</dcterms:modified>
</cp:coreProperties>
</file>