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C448" w14:textId="77777777" w:rsidR="005F44F8" w:rsidRPr="00266A97" w:rsidRDefault="005F44F8" w:rsidP="002219B1">
      <w:pPr>
        <w:jc w:val="center"/>
        <w:rPr>
          <w:rFonts w:ascii="Calibri" w:hAnsi="Calibri" w:cs="Calibri"/>
          <w:b/>
          <w:bCs/>
        </w:rPr>
      </w:pPr>
      <w:r w:rsidRPr="00266A97">
        <w:rPr>
          <w:rFonts w:ascii="Calibri" w:hAnsi="Calibri" w:cs="Calibri"/>
          <w:b/>
          <w:bCs/>
        </w:rPr>
        <w:t>EKONOMIŠKAI NAUDINGIAUSIO (KAINOS IR KOKYBĖS SANTYKIO) PASIŪLYMO VERTINIMO KRITERIJAI IR TVARKA</w:t>
      </w:r>
    </w:p>
    <w:p w14:paraId="388D3C9E" w14:textId="77777777" w:rsidR="007C6ED3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Perkančioji organizacija pasiūlymus vertins pagal kainos ir kokybės santykio kriterijų. Numatytų vertinimo kriterijų lyginamieji svoriai: </w:t>
      </w:r>
    </w:p>
    <w:p w14:paraId="541C36C1" w14:textId="7BAC53BE" w:rsidR="007C6ED3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1) </w:t>
      </w:r>
      <w:r w:rsidR="002219B1" w:rsidRPr="00266A97">
        <w:rPr>
          <w:rFonts w:ascii="Calibri" w:hAnsi="Calibri" w:cs="Calibri"/>
        </w:rPr>
        <w:t>K</w:t>
      </w:r>
      <w:r w:rsidRPr="00266A97">
        <w:rPr>
          <w:rFonts w:ascii="Calibri" w:hAnsi="Calibri" w:cs="Calibri"/>
        </w:rPr>
        <w:t xml:space="preserve">aina (P) – </w:t>
      </w:r>
      <w:r w:rsidR="00E30181">
        <w:rPr>
          <w:rFonts w:ascii="Calibri" w:hAnsi="Calibri" w:cs="Calibri"/>
        </w:rPr>
        <w:t>8</w:t>
      </w:r>
      <w:r w:rsidRPr="00266A97">
        <w:rPr>
          <w:rFonts w:ascii="Calibri" w:hAnsi="Calibri" w:cs="Calibri"/>
        </w:rPr>
        <w:t xml:space="preserve">0; </w:t>
      </w:r>
    </w:p>
    <w:p w14:paraId="34DCB24F" w14:textId="2F616F53" w:rsidR="005F44F8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2) </w:t>
      </w:r>
      <w:r w:rsidR="002219B1" w:rsidRPr="00266A97">
        <w:rPr>
          <w:rFonts w:ascii="Calibri" w:hAnsi="Calibri" w:cs="Calibri"/>
        </w:rPr>
        <w:t>T</w:t>
      </w:r>
      <w:r w:rsidRPr="00266A97">
        <w:rPr>
          <w:rFonts w:ascii="Calibri" w:hAnsi="Calibri" w:cs="Calibri"/>
        </w:rPr>
        <w:t>echniniai reikalavimai (</w:t>
      </w:r>
      <w:r w:rsidR="00C42257" w:rsidRPr="00266A97">
        <w:rPr>
          <w:rFonts w:ascii="Calibri" w:hAnsi="Calibri" w:cs="Calibri"/>
        </w:rPr>
        <w:t>Q</w:t>
      </w:r>
      <w:r w:rsidRPr="00266A97">
        <w:rPr>
          <w:rFonts w:ascii="Calibri" w:hAnsi="Calibri" w:cs="Calibri"/>
        </w:rPr>
        <w:t xml:space="preserve">) – </w:t>
      </w:r>
      <w:r w:rsidR="007A74DC">
        <w:rPr>
          <w:rFonts w:ascii="Calibri" w:hAnsi="Calibri" w:cs="Calibri"/>
        </w:rPr>
        <w:t>2</w:t>
      </w:r>
      <w:r w:rsidRPr="00266A97">
        <w:rPr>
          <w:rFonts w:ascii="Calibri" w:hAnsi="Calibri" w:cs="Calibri"/>
        </w:rPr>
        <w:t>0.</w:t>
      </w:r>
    </w:p>
    <w:p w14:paraId="11B1445D" w14:textId="77777777" w:rsidR="005F44F8" w:rsidRPr="00266A97" w:rsidRDefault="005F44F8" w:rsidP="005F44F8">
      <w:pPr>
        <w:rPr>
          <w:rFonts w:ascii="Calibri" w:hAnsi="Calibri" w:cs="Calibri"/>
        </w:rPr>
      </w:pPr>
      <w:r w:rsidRPr="00266A97">
        <w:rPr>
          <w:rFonts w:ascii="Calibri" w:hAnsi="Calibri" w:cs="Calibri"/>
        </w:rPr>
        <w:t>Vertinimo kriterijai ir jų parametrų lyginamieji svoriai: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4592"/>
        <w:gridCol w:w="1382"/>
        <w:gridCol w:w="1358"/>
        <w:gridCol w:w="1793"/>
      </w:tblGrid>
      <w:tr w:rsidR="00C42257" w:rsidRPr="00266A97" w14:paraId="57CFCB6B" w14:textId="77777777" w:rsidTr="00842646">
        <w:trPr>
          <w:trHeight w:val="846"/>
          <w:jc w:val="center"/>
        </w:trPr>
        <w:tc>
          <w:tcPr>
            <w:tcW w:w="3364" w:type="pct"/>
            <w:gridSpan w:val="3"/>
            <w:shd w:val="clear" w:color="auto" w:fill="D9D9D9"/>
            <w:vAlign w:val="center"/>
          </w:tcPr>
          <w:p w14:paraId="26B39EA9" w14:textId="77777777" w:rsidR="00C42257" w:rsidRPr="00266A97" w:rsidRDefault="00C42257" w:rsidP="006B5A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Vertinimo kriterijai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53DA92EF" w14:textId="77777777" w:rsidR="00C42257" w:rsidRPr="00266A97" w:rsidRDefault="00C42257" w:rsidP="006B5A11">
            <w:pPr>
              <w:ind w:left="-14" w:right="-90"/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Parametro lyginamasis svoris</w:t>
            </w:r>
          </w:p>
        </w:tc>
        <w:tc>
          <w:tcPr>
            <w:tcW w:w="931" w:type="pct"/>
            <w:shd w:val="clear" w:color="auto" w:fill="D9D9D9"/>
            <w:vAlign w:val="center"/>
          </w:tcPr>
          <w:p w14:paraId="0343B6FD" w14:textId="77777777" w:rsidR="00C42257" w:rsidRPr="00266A97" w:rsidRDefault="00C42257" w:rsidP="006B5A11">
            <w:pPr>
              <w:ind w:right="-122"/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Lyginamasis svoris ekonominio naudingumo įvertinime</w:t>
            </w:r>
          </w:p>
        </w:tc>
      </w:tr>
      <w:tr w:rsidR="00C42257" w:rsidRPr="00266A97" w14:paraId="3377C039" w14:textId="77777777" w:rsidTr="00842646">
        <w:trPr>
          <w:jc w:val="center"/>
        </w:trPr>
        <w:tc>
          <w:tcPr>
            <w:tcW w:w="4069" w:type="pct"/>
            <w:gridSpan w:val="4"/>
            <w:shd w:val="clear" w:color="auto" w:fill="D9D9D9"/>
            <w:vAlign w:val="center"/>
          </w:tcPr>
          <w:p w14:paraId="59BBBAF6" w14:textId="35BD8CB6" w:rsidR="00C42257" w:rsidRPr="00266A97" w:rsidRDefault="00C42257" w:rsidP="006B5A11">
            <w:pPr>
              <w:rPr>
                <w:rFonts w:ascii="Calibri" w:eastAsia="Calibri" w:hAnsi="Calibri" w:cs="Calibri"/>
                <w:b/>
                <w:bCs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Kaina (P)</w:t>
            </w:r>
          </w:p>
        </w:tc>
        <w:tc>
          <w:tcPr>
            <w:tcW w:w="931" w:type="pct"/>
            <w:shd w:val="clear" w:color="auto" w:fill="D9D9D9"/>
            <w:vAlign w:val="center"/>
          </w:tcPr>
          <w:p w14:paraId="12006036" w14:textId="4BAF2434" w:rsidR="00C42257" w:rsidRPr="00266A97" w:rsidRDefault="00C42257" w:rsidP="006B5A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X=</w:t>
            </w:r>
            <w:r w:rsidR="0009137E">
              <w:rPr>
                <w:rFonts w:ascii="Calibri" w:eastAsia="Times New Roman" w:hAnsi="Calibri" w:cs="Calibri"/>
                <w:b/>
              </w:rPr>
              <w:t>80</w:t>
            </w:r>
          </w:p>
        </w:tc>
      </w:tr>
      <w:tr w:rsidR="00C42257" w:rsidRPr="00266A97" w14:paraId="1C06AC40" w14:textId="77777777" w:rsidTr="00842646">
        <w:trPr>
          <w:jc w:val="center"/>
        </w:trPr>
        <w:tc>
          <w:tcPr>
            <w:tcW w:w="4069" w:type="pct"/>
            <w:gridSpan w:val="4"/>
            <w:shd w:val="clear" w:color="auto" w:fill="D9D9D9"/>
            <w:vAlign w:val="center"/>
          </w:tcPr>
          <w:p w14:paraId="141624EC" w14:textId="7649E46B" w:rsidR="00C42257" w:rsidRPr="00266A97" w:rsidRDefault="00C42257" w:rsidP="006B5A11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266A97">
              <w:rPr>
                <w:rFonts w:ascii="Calibri" w:eastAsia="Times New Roman" w:hAnsi="Calibri" w:cs="Calibri"/>
                <w:b/>
                <w:color w:val="000000"/>
              </w:rPr>
              <w:t>Techniniai reikalavimai (Q)</w:t>
            </w:r>
          </w:p>
        </w:tc>
        <w:tc>
          <w:tcPr>
            <w:tcW w:w="931" w:type="pct"/>
            <w:shd w:val="clear" w:color="auto" w:fill="D9D9D9"/>
            <w:vAlign w:val="center"/>
          </w:tcPr>
          <w:p w14:paraId="30933FE3" w14:textId="7921893E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  <w:b/>
                <w:lang w:val="en-GB"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Y</w:t>
            </w:r>
            <w:r w:rsidRPr="00266A97">
              <w:rPr>
                <w:rFonts w:ascii="Calibri" w:eastAsia="Times New Roman" w:hAnsi="Calibri" w:cs="Calibri"/>
                <w:b/>
                <w:lang w:val="en-GB"/>
              </w:rPr>
              <w:t>=</w:t>
            </w:r>
            <w:r w:rsidR="0009137E">
              <w:rPr>
                <w:rFonts w:ascii="Calibri" w:eastAsia="Times New Roman" w:hAnsi="Calibri" w:cs="Calibri"/>
                <w:b/>
                <w:lang w:val="en-GB"/>
              </w:rPr>
              <w:t>20</w:t>
            </w:r>
          </w:p>
        </w:tc>
      </w:tr>
      <w:tr w:rsidR="00C42257" w:rsidRPr="00266A97" w14:paraId="614A5D75" w14:textId="77777777" w:rsidTr="00333C5A">
        <w:trPr>
          <w:jc w:val="center"/>
        </w:trPr>
        <w:tc>
          <w:tcPr>
            <w:tcW w:w="261" w:type="pct"/>
          </w:tcPr>
          <w:p w14:paraId="470AE359" w14:textId="77777777" w:rsidR="00C42257" w:rsidRPr="00266A97" w:rsidRDefault="00C42257" w:rsidP="006B5A11">
            <w:pPr>
              <w:ind w:right="-81"/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Nr.</w:t>
            </w:r>
          </w:p>
        </w:tc>
        <w:tc>
          <w:tcPr>
            <w:tcW w:w="2385" w:type="pct"/>
            <w:vAlign w:val="center"/>
          </w:tcPr>
          <w:p w14:paraId="07C0ADD8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>Kriterijus</w:t>
            </w:r>
          </w:p>
        </w:tc>
        <w:tc>
          <w:tcPr>
            <w:tcW w:w="717" w:type="pct"/>
            <w:vAlign w:val="center"/>
          </w:tcPr>
          <w:p w14:paraId="05D9E926" w14:textId="77777777" w:rsidR="00C42257" w:rsidRPr="00266A97" w:rsidRDefault="00C42257" w:rsidP="006B5A11">
            <w:pPr>
              <w:ind w:left="-110" w:right="-250" w:firstLine="110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 xml:space="preserve">  Metodas</w:t>
            </w:r>
          </w:p>
        </w:tc>
        <w:tc>
          <w:tcPr>
            <w:tcW w:w="705" w:type="pct"/>
          </w:tcPr>
          <w:p w14:paraId="13D21AB1" w14:textId="77777777" w:rsidR="00C42257" w:rsidRPr="00266A97" w:rsidRDefault="00C42257" w:rsidP="006B5A1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31" w:type="pct"/>
          </w:tcPr>
          <w:p w14:paraId="7E56C181" w14:textId="77777777" w:rsidR="00C42257" w:rsidRPr="00266A97" w:rsidRDefault="00C42257" w:rsidP="006B5A11">
            <w:pPr>
              <w:ind w:right="-300"/>
              <w:rPr>
                <w:rFonts w:ascii="Calibri" w:eastAsia="Times New Roman" w:hAnsi="Calibri" w:cs="Calibri"/>
                <w:b/>
              </w:rPr>
            </w:pPr>
            <w:r w:rsidRPr="00266A97">
              <w:rPr>
                <w:rFonts w:ascii="Calibri" w:eastAsia="Times New Roman" w:hAnsi="Calibri" w:cs="Calibri"/>
                <w:b/>
              </w:rPr>
              <w:t xml:space="preserve">      Vertė</w:t>
            </w:r>
          </w:p>
        </w:tc>
      </w:tr>
      <w:tr w:rsidR="00C42257" w:rsidRPr="00266A97" w14:paraId="46E931D6" w14:textId="77777777" w:rsidTr="00333C5A">
        <w:trPr>
          <w:trHeight w:val="57"/>
          <w:jc w:val="center"/>
        </w:trPr>
        <w:tc>
          <w:tcPr>
            <w:tcW w:w="261" w:type="pct"/>
            <w:vAlign w:val="center"/>
          </w:tcPr>
          <w:p w14:paraId="7CF04B69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1</w:t>
            </w:r>
          </w:p>
        </w:tc>
        <w:tc>
          <w:tcPr>
            <w:tcW w:w="2385" w:type="pct"/>
            <w:vAlign w:val="center"/>
          </w:tcPr>
          <w:p w14:paraId="2989E94A" w14:textId="38EFA6D8" w:rsidR="00C42257" w:rsidRPr="00266A97" w:rsidRDefault="00BF43BD" w:rsidP="006B5A11">
            <w:pPr>
              <w:pStyle w:val="Betarp"/>
              <w:rPr>
                <w:rFonts w:cs="Calibri"/>
              </w:rPr>
            </w:pPr>
            <w:r w:rsidRPr="00955B09">
              <w:rPr>
                <w:sz w:val="24"/>
                <w:szCs w:val="24"/>
              </w:rPr>
              <w:t>Padangos: Klasė ne žemesnė nei A.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2AC79653" w14:textId="519D272B" w:rsidR="00C42257" w:rsidRPr="00266A97" w:rsidRDefault="00CE3721" w:rsidP="006B5A11">
            <w:pPr>
              <w:pStyle w:val="Betarp"/>
              <w:jc w:val="center"/>
              <w:rPr>
                <w:rFonts w:cs="Calibri"/>
                <w:bCs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45DEAAD8" w14:textId="19028F5B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1</w:t>
            </w:r>
            <w:r w:rsidRPr="00266A97">
              <w:rPr>
                <w:rFonts w:ascii="Calibri" w:eastAsia="Times New Roman" w:hAnsi="Calibri" w:cs="Calibri"/>
              </w:rPr>
              <w:t xml:space="preserve"> = 0,</w:t>
            </w:r>
            <w:r w:rsidR="00B05173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14:paraId="768C9A82" w14:textId="77777777" w:rsidR="00CE3721" w:rsidRPr="00266A97" w:rsidRDefault="00CE3721" w:rsidP="00CE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1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balas</w:t>
            </w:r>
            <w:proofErr w:type="spellEnd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0A4CFF42" w14:textId="0B105B86" w:rsidR="00C42257" w:rsidRPr="00266A97" w:rsidRDefault="00CE3721" w:rsidP="00CE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Ne – 0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balų</w:t>
            </w:r>
            <w:proofErr w:type="spellEnd"/>
          </w:p>
        </w:tc>
      </w:tr>
      <w:tr w:rsidR="00C42257" w:rsidRPr="00266A97" w14:paraId="4752C581" w14:textId="77777777" w:rsidTr="00333C5A">
        <w:trPr>
          <w:trHeight w:val="571"/>
          <w:jc w:val="center"/>
        </w:trPr>
        <w:tc>
          <w:tcPr>
            <w:tcW w:w="261" w:type="pct"/>
            <w:vAlign w:val="center"/>
          </w:tcPr>
          <w:p w14:paraId="7B29B4AF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2</w:t>
            </w:r>
          </w:p>
        </w:tc>
        <w:tc>
          <w:tcPr>
            <w:tcW w:w="2385" w:type="pct"/>
            <w:vAlign w:val="center"/>
          </w:tcPr>
          <w:p w14:paraId="0A058488" w14:textId="47C3BBC3" w:rsidR="00C42257" w:rsidRPr="00266A97" w:rsidRDefault="00B71DF0" w:rsidP="006B5A11">
            <w:pPr>
              <w:pStyle w:val="Betarp"/>
              <w:rPr>
                <w:rFonts w:cs="Calibri"/>
              </w:rPr>
            </w:pPr>
            <w:r w:rsidRPr="00955B09">
              <w:rPr>
                <w:sz w:val="24"/>
                <w:szCs w:val="24"/>
              </w:rPr>
              <w:t>Šildomas priekinis stiklas</w:t>
            </w:r>
          </w:p>
        </w:tc>
        <w:tc>
          <w:tcPr>
            <w:tcW w:w="717" w:type="pct"/>
            <w:vAlign w:val="center"/>
          </w:tcPr>
          <w:p w14:paraId="10B9F8B3" w14:textId="77777777" w:rsidR="00C42257" w:rsidRPr="00266A97" w:rsidRDefault="00C42257" w:rsidP="006B5A11">
            <w:pPr>
              <w:pStyle w:val="Betarp"/>
              <w:jc w:val="center"/>
              <w:rPr>
                <w:rFonts w:cs="Calibri"/>
                <w:bCs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vAlign w:val="center"/>
          </w:tcPr>
          <w:p w14:paraId="4986B3B5" w14:textId="11B81738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2</w:t>
            </w:r>
            <w:r w:rsidRPr="00266A97">
              <w:rPr>
                <w:rFonts w:ascii="Calibri" w:eastAsia="Times New Roman" w:hAnsi="Calibri" w:cs="Calibri"/>
              </w:rPr>
              <w:t xml:space="preserve"> = 0,</w:t>
            </w:r>
            <w:r w:rsidR="00EC0DA2">
              <w:rPr>
                <w:rFonts w:ascii="Calibri" w:eastAsia="Times New Roman" w:hAnsi="Calibri" w:cs="Calibri"/>
              </w:rPr>
              <w:t>1</w:t>
            </w:r>
            <w:r w:rsidR="00EA1884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31" w:type="pct"/>
            <w:vAlign w:val="center"/>
          </w:tcPr>
          <w:p w14:paraId="4FA907EF" w14:textId="31D08B44" w:rsidR="00C42257" w:rsidRPr="00266A97" w:rsidRDefault="00C42257" w:rsidP="006B5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1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balas</w:t>
            </w:r>
            <w:proofErr w:type="spellEnd"/>
            <w:r w:rsidR="000A2F3F"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22A24C38" w14:textId="77777777" w:rsidR="00C42257" w:rsidRPr="00266A97" w:rsidRDefault="00C42257" w:rsidP="006B5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Ne – 0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balų</w:t>
            </w:r>
            <w:proofErr w:type="spellEnd"/>
          </w:p>
        </w:tc>
      </w:tr>
      <w:tr w:rsidR="00C42257" w:rsidRPr="00266A97" w14:paraId="64F08F60" w14:textId="77777777" w:rsidTr="00333C5A">
        <w:trPr>
          <w:trHeight w:val="571"/>
          <w:jc w:val="center"/>
        </w:trPr>
        <w:tc>
          <w:tcPr>
            <w:tcW w:w="261" w:type="pct"/>
            <w:vAlign w:val="center"/>
          </w:tcPr>
          <w:p w14:paraId="4D6FB271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3</w:t>
            </w:r>
          </w:p>
        </w:tc>
        <w:tc>
          <w:tcPr>
            <w:tcW w:w="2385" w:type="pct"/>
            <w:vAlign w:val="center"/>
          </w:tcPr>
          <w:p w14:paraId="511D64F4" w14:textId="7AB833C9" w:rsidR="00C42257" w:rsidRPr="00266A97" w:rsidRDefault="00923B11" w:rsidP="006B5A11">
            <w:pPr>
              <w:pStyle w:val="Betarp"/>
              <w:rPr>
                <w:rFonts w:cs="Calibri"/>
              </w:rPr>
            </w:pPr>
            <w:r w:rsidRPr="00955B09">
              <w:rPr>
                <w:sz w:val="24"/>
                <w:szCs w:val="24"/>
              </w:rPr>
              <w:t>Ženklus atpažįstanti sistema</w:t>
            </w:r>
          </w:p>
        </w:tc>
        <w:tc>
          <w:tcPr>
            <w:tcW w:w="717" w:type="pct"/>
            <w:vAlign w:val="center"/>
          </w:tcPr>
          <w:p w14:paraId="6FB6BE8D" w14:textId="77777777" w:rsidR="00C42257" w:rsidRPr="00266A97" w:rsidRDefault="00C42257" w:rsidP="006B5A11">
            <w:pPr>
              <w:pStyle w:val="Betarp"/>
              <w:jc w:val="center"/>
              <w:rPr>
                <w:rFonts w:cs="Calibri"/>
                <w:bCs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vAlign w:val="center"/>
          </w:tcPr>
          <w:p w14:paraId="50B9263A" w14:textId="10CCFC8E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3</w:t>
            </w:r>
            <w:r w:rsidRPr="00266A97">
              <w:rPr>
                <w:rFonts w:ascii="Calibri" w:eastAsia="Times New Roman" w:hAnsi="Calibri" w:cs="Calibri"/>
              </w:rPr>
              <w:t xml:space="preserve"> = 0,</w:t>
            </w:r>
            <w:r w:rsidR="00EC0DA2">
              <w:rPr>
                <w:rFonts w:ascii="Calibri" w:eastAsia="Times New Roman" w:hAnsi="Calibri" w:cs="Calibri"/>
              </w:rPr>
              <w:t>1</w:t>
            </w:r>
            <w:r w:rsidR="00EA1884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31" w:type="pct"/>
            <w:vAlign w:val="center"/>
          </w:tcPr>
          <w:p w14:paraId="69FC5469" w14:textId="494721FD" w:rsidR="00C42257" w:rsidRPr="00266A97" w:rsidRDefault="00C42257" w:rsidP="006B5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1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balas</w:t>
            </w:r>
            <w:proofErr w:type="spellEnd"/>
            <w:r w:rsidR="000A2F3F"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103F3C14" w14:textId="77777777" w:rsidR="00C42257" w:rsidRPr="00266A97" w:rsidRDefault="00C42257" w:rsidP="006B5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Ne – 0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balų</w:t>
            </w:r>
            <w:proofErr w:type="spellEnd"/>
          </w:p>
        </w:tc>
      </w:tr>
      <w:tr w:rsidR="00C42257" w:rsidRPr="00266A97" w14:paraId="208CD513" w14:textId="77777777" w:rsidTr="00333C5A">
        <w:trPr>
          <w:trHeight w:val="571"/>
          <w:jc w:val="center"/>
        </w:trPr>
        <w:tc>
          <w:tcPr>
            <w:tcW w:w="261" w:type="pct"/>
            <w:vAlign w:val="center"/>
          </w:tcPr>
          <w:p w14:paraId="7BB933FB" w14:textId="77777777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4</w:t>
            </w:r>
          </w:p>
        </w:tc>
        <w:tc>
          <w:tcPr>
            <w:tcW w:w="2385" w:type="pct"/>
            <w:vAlign w:val="center"/>
          </w:tcPr>
          <w:p w14:paraId="0B0C29C9" w14:textId="699BD8B9" w:rsidR="00C42257" w:rsidRPr="00266A97" w:rsidRDefault="00ED498A" w:rsidP="006B5A11">
            <w:pPr>
              <w:pStyle w:val="Betarp"/>
              <w:rPr>
                <w:rFonts w:cs="Calibri"/>
              </w:rPr>
            </w:pPr>
            <w:r w:rsidRPr="00955B09">
              <w:rPr>
                <w:sz w:val="24"/>
                <w:szCs w:val="24"/>
              </w:rPr>
              <w:t>Eismo juostos palaikymo sistema</w:t>
            </w:r>
          </w:p>
        </w:tc>
        <w:tc>
          <w:tcPr>
            <w:tcW w:w="717" w:type="pct"/>
            <w:vAlign w:val="center"/>
          </w:tcPr>
          <w:p w14:paraId="6CABB266" w14:textId="77777777" w:rsidR="00C42257" w:rsidRPr="00266A97" w:rsidRDefault="00C42257" w:rsidP="006B5A11">
            <w:pPr>
              <w:pStyle w:val="Betarp"/>
              <w:jc w:val="center"/>
              <w:rPr>
                <w:rFonts w:eastAsia="Times New Roman" w:cs="Calibri"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vAlign w:val="center"/>
          </w:tcPr>
          <w:p w14:paraId="11E7DD9B" w14:textId="0FC93E68" w:rsidR="00C42257" w:rsidRPr="00266A97" w:rsidRDefault="00C42257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266A97">
              <w:rPr>
                <w:rFonts w:ascii="Calibri" w:eastAsia="Times New Roman" w:hAnsi="Calibri" w:cs="Calibri"/>
                <w:vertAlign w:val="subscript"/>
              </w:rPr>
              <w:t>4</w:t>
            </w:r>
            <w:r w:rsidRPr="00266A97">
              <w:rPr>
                <w:rFonts w:ascii="Calibri" w:eastAsia="Times New Roman" w:hAnsi="Calibri" w:cs="Calibri"/>
              </w:rPr>
              <w:t xml:space="preserve"> = 0,1</w:t>
            </w:r>
            <w:r w:rsidR="00EA1884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31" w:type="pct"/>
            <w:vAlign w:val="center"/>
          </w:tcPr>
          <w:p w14:paraId="072D422D" w14:textId="1B65CEB6" w:rsidR="00C42257" w:rsidRPr="00266A97" w:rsidRDefault="00C42257" w:rsidP="006B5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1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balas</w:t>
            </w:r>
            <w:proofErr w:type="spellEnd"/>
            <w:r w:rsidR="000A2F3F"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6E507B08" w14:textId="77777777" w:rsidR="00C42257" w:rsidRPr="00266A97" w:rsidRDefault="00C42257" w:rsidP="006B5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Ne – 0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balų</w:t>
            </w:r>
            <w:proofErr w:type="spellEnd"/>
          </w:p>
        </w:tc>
      </w:tr>
      <w:tr w:rsidR="00ED498A" w:rsidRPr="00266A97" w14:paraId="42CA3B29" w14:textId="77777777" w:rsidTr="00333C5A">
        <w:trPr>
          <w:trHeight w:val="571"/>
          <w:jc w:val="center"/>
        </w:trPr>
        <w:tc>
          <w:tcPr>
            <w:tcW w:w="261" w:type="pct"/>
            <w:vAlign w:val="center"/>
          </w:tcPr>
          <w:p w14:paraId="79985065" w14:textId="17F45F09" w:rsidR="00ED498A" w:rsidRPr="00266A97" w:rsidRDefault="00ED498A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="00D75CC8" w:rsidRPr="00D75CC8">
              <w:rPr>
                <w:rFonts w:ascii="Calibri" w:eastAsia="Times New Roman" w:hAnsi="Calibri" w:cs="Calibri"/>
                <w:vertAlign w:val="subscript"/>
              </w:rPr>
              <w:t>5</w:t>
            </w:r>
          </w:p>
        </w:tc>
        <w:tc>
          <w:tcPr>
            <w:tcW w:w="2385" w:type="pct"/>
            <w:vAlign w:val="center"/>
          </w:tcPr>
          <w:p w14:paraId="63513EBB" w14:textId="6C2C93B1" w:rsidR="00ED498A" w:rsidRPr="00955B09" w:rsidRDefault="00722091" w:rsidP="006B5A11">
            <w:pPr>
              <w:pStyle w:val="Betarp"/>
              <w:rPr>
                <w:sz w:val="24"/>
                <w:szCs w:val="24"/>
              </w:rPr>
            </w:pPr>
            <w:r w:rsidRPr="00955B09">
              <w:rPr>
                <w:sz w:val="24"/>
                <w:szCs w:val="24"/>
              </w:rPr>
              <w:t>Automatinė avarinio stabdymo sistema</w:t>
            </w:r>
          </w:p>
        </w:tc>
        <w:tc>
          <w:tcPr>
            <w:tcW w:w="717" w:type="pct"/>
            <w:vAlign w:val="center"/>
          </w:tcPr>
          <w:p w14:paraId="3EE07881" w14:textId="79C655D8" w:rsidR="00ED498A" w:rsidRPr="00266A97" w:rsidRDefault="00722091" w:rsidP="006B5A11">
            <w:pPr>
              <w:pStyle w:val="Betarp"/>
              <w:jc w:val="center"/>
              <w:rPr>
                <w:rFonts w:eastAsia="Times New Roman" w:cs="Calibri"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vAlign w:val="center"/>
          </w:tcPr>
          <w:p w14:paraId="447BCE45" w14:textId="6114C77C" w:rsidR="00ED498A" w:rsidRPr="00266A97" w:rsidRDefault="00A66B5B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A66B5B">
              <w:rPr>
                <w:rFonts w:ascii="Calibri" w:eastAsia="Times New Roman" w:hAnsi="Calibri" w:cs="Calibri"/>
                <w:vertAlign w:val="subscript"/>
              </w:rPr>
              <w:t>5</w:t>
            </w:r>
            <w:r w:rsidRPr="00266A97">
              <w:rPr>
                <w:rFonts w:ascii="Calibri" w:eastAsia="Times New Roman" w:hAnsi="Calibri" w:cs="Calibri"/>
              </w:rPr>
              <w:t xml:space="preserve"> = 0,1</w:t>
            </w:r>
            <w:r w:rsidR="00EA1884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31" w:type="pct"/>
            <w:vAlign w:val="center"/>
          </w:tcPr>
          <w:p w14:paraId="5B8274A1" w14:textId="77777777" w:rsidR="00722091" w:rsidRPr="00266A97" w:rsidRDefault="00722091" w:rsidP="0072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1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balas</w:t>
            </w:r>
            <w:proofErr w:type="spellEnd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5CA50C00" w14:textId="36C13C13" w:rsidR="00ED498A" w:rsidRPr="00266A97" w:rsidRDefault="00722091" w:rsidP="00722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Ne – 0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balų</w:t>
            </w:r>
            <w:proofErr w:type="spellEnd"/>
          </w:p>
        </w:tc>
      </w:tr>
      <w:tr w:rsidR="009A79A1" w:rsidRPr="00266A97" w14:paraId="4EA720E7" w14:textId="77777777" w:rsidTr="00333C5A">
        <w:trPr>
          <w:trHeight w:val="571"/>
          <w:jc w:val="center"/>
        </w:trPr>
        <w:tc>
          <w:tcPr>
            <w:tcW w:w="261" w:type="pct"/>
            <w:vAlign w:val="center"/>
          </w:tcPr>
          <w:p w14:paraId="77403D0A" w14:textId="72BB93DB" w:rsidR="009A79A1" w:rsidRPr="00266A97" w:rsidRDefault="00EA54AB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T</w:t>
            </w:r>
            <w:r w:rsidRPr="00333C5A">
              <w:rPr>
                <w:rFonts w:ascii="Calibri" w:eastAsia="Times New Roman" w:hAnsi="Calibri" w:cs="Calibri"/>
                <w:vertAlign w:val="subscript"/>
              </w:rPr>
              <w:t>6</w:t>
            </w:r>
          </w:p>
        </w:tc>
        <w:tc>
          <w:tcPr>
            <w:tcW w:w="2385" w:type="pct"/>
            <w:vAlign w:val="center"/>
          </w:tcPr>
          <w:p w14:paraId="76729128" w14:textId="7509DE15" w:rsidR="009A79A1" w:rsidRPr="00955B09" w:rsidRDefault="00EA54AB" w:rsidP="006B5A11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Bako talpa ne mažiau 65 litrų</w:t>
            </w:r>
          </w:p>
        </w:tc>
        <w:tc>
          <w:tcPr>
            <w:tcW w:w="717" w:type="pct"/>
            <w:vAlign w:val="center"/>
          </w:tcPr>
          <w:p w14:paraId="2437945C" w14:textId="2181D110" w:rsidR="009A79A1" w:rsidRPr="00266A97" w:rsidRDefault="00EA54AB" w:rsidP="006B5A11">
            <w:pPr>
              <w:pStyle w:val="Betarp"/>
              <w:jc w:val="center"/>
              <w:rPr>
                <w:rFonts w:eastAsia="Times New Roman" w:cs="Calibri"/>
              </w:rPr>
            </w:pPr>
            <w:r w:rsidRPr="00266A97">
              <w:rPr>
                <w:rFonts w:eastAsia="Times New Roman" w:cs="Calibri"/>
              </w:rPr>
              <w:t>Taip/Ne</w:t>
            </w:r>
          </w:p>
        </w:tc>
        <w:tc>
          <w:tcPr>
            <w:tcW w:w="705" w:type="pct"/>
            <w:vAlign w:val="center"/>
          </w:tcPr>
          <w:p w14:paraId="03434566" w14:textId="5DE88D64" w:rsidR="009A79A1" w:rsidRPr="00266A97" w:rsidRDefault="00EA54AB" w:rsidP="006B5A11">
            <w:pPr>
              <w:jc w:val="center"/>
              <w:rPr>
                <w:rFonts w:ascii="Calibri" w:eastAsia="Times New Roman" w:hAnsi="Calibri" w:cs="Calibri"/>
              </w:rPr>
            </w:pPr>
            <w:r w:rsidRPr="00266A97">
              <w:rPr>
                <w:rFonts w:ascii="Calibri" w:eastAsia="Times New Roman" w:hAnsi="Calibri" w:cs="Calibri"/>
              </w:rPr>
              <w:t>L</w:t>
            </w:r>
            <w:r w:rsidRPr="00333C5A">
              <w:rPr>
                <w:rFonts w:ascii="Calibri" w:eastAsia="Times New Roman" w:hAnsi="Calibri" w:cs="Calibri"/>
                <w:vertAlign w:val="subscript"/>
              </w:rPr>
              <w:t>6</w:t>
            </w:r>
            <w:r w:rsidRPr="00266A97">
              <w:rPr>
                <w:rFonts w:ascii="Calibri" w:eastAsia="Times New Roman" w:hAnsi="Calibri" w:cs="Calibri"/>
              </w:rPr>
              <w:t xml:space="preserve"> = 0,1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31" w:type="pct"/>
            <w:vAlign w:val="center"/>
          </w:tcPr>
          <w:p w14:paraId="264DAB19" w14:textId="77777777" w:rsidR="00EA54AB" w:rsidRPr="00266A97" w:rsidRDefault="00EA54AB" w:rsidP="00EA5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Taip – 1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balas</w:t>
            </w:r>
            <w:proofErr w:type="spellEnd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,</w:t>
            </w:r>
          </w:p>
          <w:p w14:paraId="46CA0178" w14:textId="0CA9B71A" w:rsidR="009A79A1" w:rsidRPr="00266A97" w:rsidRDefault="00EA54AB" w:rsidP="00EA5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 xml:space="preserve">Ne – 0 </w:t>
            </w:r>
            <w:proofErr w:type="spellStart"/>
            <w:r w:rsidRPr="00266A97">
              <w:rPr>
                <w:rFonts w:ascii="Calibri" w:eastAsia="Times New Roman" w:hAnsi="Calibri" w:cs="Calibri"/>
                <w:color w:val="000000"/>
                <w:lang w:val="en-GB"/>
              </w:rPr>
              <w:t>balų</w:t>
            </w:r>
            <w:proofErr w:type="spellEnd"/>
          </w:p>
        </w:tc>
      </w:tr>
    </w:tbl>
    <w:p w14:paraId="32510791" w14:textId="1D02D1FC" w:rsidR="005F44F8" w:rsidRPr="00266A97" w:rsidRDefault="005F44F8" w:rsidP="00D3136D">
      <w:pPr>
        <w:spacing w:before="120"/>
        <w:rPr>
          <w:rFonts w:ascii="Calibri" w:hAnsi="Calibri" w:cs="Calibri"/>
        </w:rPr>
      </w:pPr>
      <w:r w:rsidRPr="00266A97">
        <w:rPr>
          <w:rFonts w:ascii="Calibri" w:hAnsi="Calibri" w:cs="Calibri"/>
          <w:b/>
          <w:bCs/>
        </w:rPr>
        <w:t>Pasiūlymo ekonominio naudingumo (kainos ir kokybės santykio) apskaičiavimo tvarka:</w:t>
      </w:r>
    </w:p>
    <w:p w14:paraId="20950488" w14:textId="4A21BDB3" w:rsidR="00155549" w:rsidRPr="00D23322" w:rsidRDefault="001E7D10" w:rsidP="00092D49">
      <w:pPr>
        <w:numPr>
          <w:ilvl w:val="0"/>
          <w:numId w:val="1"/>
        </w:numPr>
        <w:spacing w:after="0"/>
        <w:ind w:hanging="357"/>
        <w:rPr>
          <w:rFonts w:ascii="Calibri" w:hAnsi="Calibri" w:cs="Calibri"/>
        </w:rPr>
      </w:pPr>
      <w:r w:rsidRPr="00D23322">
        <w:rPr>
          <w:rFonts w:ascii="Calibri" w:hAnsi="Calibri" w:cs="Calibri"/>
        </w:rPr>
        <w:t xml:space="preserve">Pasiūlymo ekonominis naudingumas apskaičiuojamas naudojant </w:t>
      </w:r>
      <w:r w:rsidRPr="00D23322">
        <w:rPr>
          <w:rFonts w:ascii="Calibri" w:hAnsi="Calibri" w:cs="Calibri"/>
          <w:b/>
          <w:bCs/>
        </w:rPr>
        <w:t xml:space="preserve">tiesinę balų sumavimo (absoliutinę) </w:t>
      </w:r>
      <w:r w:rsidRPr="00D23322">
        <w:rPr>
          <w:rFonts w:ascii="Calibri" w:hAnsi="Calibri" w:cs="Calibri"/>
        </w:rPr>
        <w:t xml:space="preserve">formulę. Laimėtoju pripažįstamas pasiūlymas, surinkęs didžiausią balų skaičių </w:t>
      </w:r>
      <w:r w:rsidR="00674517" w:rsidRPr="00D23322">
        <w:rPr>
          <w:rFonts w:ascii="Calibri" w:hAnsi="Calibri" w:cs="Calibri"/>
        </w:rPr>
        <w:t>(</w:t>
      </w:r>
      <w:r w:rsidRPr="00D23322">
        <w:rPr>
          <w:rFonts w:ascii="Calibri" w:hAnsi="Calibri" w:cs="Calibri"/>
          <w:sz w:val="28"/>
          <w:szCs w:val="28"/>
        </w:rPr>
        <w:t>E</w:t>
      </w:r>
      <w:r w:rsidRPr="00D23322">
        <w:rPr>
          <w:rFonts w:ascii="Calibri" w:eastAsia="Times New Roman" w:hAnsi="Calibri" w:cs="Calibri"/>
          <w:sz w:val="28"/>
          <w:szCs w:val="28"/>
          <w:vertAlign w:val="subscript"/>
        </w:rPr>
        <w:t>i</w:t>
      </w:r>
      <w:r w:rsidR="00674517" w:rsidRPr="00D23322">
        <w:rPr>
          <w:rFonts w:ascii="Calibri" w:hAnsi="Calibri" w:cs="Calibri"/>
        </w:rPr>
        <w:t>):</w:t>
      </w:r>
      <w:r w:rsidR="00442A83" w:rsidRPr="00D23322">
        <w:rPr>
          <w:rFonts w:ascii="Calibri" w:hAnsi="Calibri" w:cs="Calibri"/>
        </w:rPr>
        <w:t xml:space="preserve">            </w:t>
      </w:r>
    </w:p>
    <w:p w14:paraId="24995056" w14:textId="0614C806" w:rsidR="00092D49" w:rsidRPr="00266A97" w:rsidRDefault="00442A83" w:rsidP="00092D49">
      <w:pPr>
        <w:ind w:left="720"/>
        <w:rPr>
          <w:rFonts w:ascii="Calibri" w:hAnsi="Calibri" w:cs="Calibri"/>
        </w:rPr>
      </w:pPr>
      <w:r w:rsidRPr="00266A97">
        <w:rPr>
          <w:rFonts w:ascii="Calibri" w:hAnsi="Calibri" w:cs="Calibri"/>
        </w:rPr>
        <w:t xml:space="preserve">            </w:t>
      </w:r>
      <w:r w:rsidR="00155549" w:rsidRPr="00266A97">
        <w:rPr>
          <w:rFonts w:ascii="Calibri" w:hAnsi="Calibri" w:cs="Calibri"/>
        </w:rPr>
        <w:t xml:space="preserve">               </w:t>
      </w:r>
      <w:r w:rsidRPr="00266A97">
        <w:rPr>
          <w:rFonts w:ascii="Calibri" w:hAnsi="Calibri" w:cs="Calibri"/>
        </w:rPr>
        <w:t xml:space="preserve"> </w:t>
      </w:r>
      <w:r w:rsidRPr="00266A97">
        <w:rPr>
          <w:rFonts w:ascii="Calibri" w:hAnsi="Calibri" w:cs="Calibri"/>
          <w:noProof/>
        </w:rPr>
        <w:drawing>
          <wp:inline distT="0" distB="0" distL="0" distR="0" wp14:anchorId="6F0C93F0" wp14:editId="50946163">
            <wp:extent cx="1234547" cy="312447"/>
            <wp:effectExtent l="0" t="0" r="3810" b="0"/>
            <wp:docPr id="951259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598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547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E16B" w14:textId="338A8794" w:rsidR="00025EFC" w:rsidRPr="00266A97" w:rsidRDefault="00442A83" w:rsidP="00FA3651">
      <w:pPr>
        <w:pStyle w:val="Sraopastraipa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266A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Kainos balų (</w:t>
      </w:r>
      <w:proofErr w:type="spellStart"/>
      <w:r w:rsidRPr="00266A97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</w:t>
      </w:r>
      <w:r w:rsidRPr="00266A97">
        <w:rPr>
          <w:rFonts w:ascii="Calibri" w:eastAsia="Times New Roman" w:hAnsi="Calibri" w:cs="Calibri"/>
          <w:b/>
          <w:bCs/>
          <w:sz w:val="28"/>
          <w:szCs w:val="28"/>
          <w:vertAlign w:val="subscript"/>
        </w:rPr>
        <w:t>i</w:t>
      </w:r>
      <w:proofErr w:type="spellEnd"/>
      <w:r w:rsidRPr="00266A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) apskaičiavimas: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C8658F6" w14:textId="209DD865" w:rsidR="00442A83" w:rsidRPr="00266A97" w:rsidRDefault="00442A83" w:rsidP="00025EFC">
      <w:pPr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Kainos balai apskaičiuojami vertinant tiekėjo pasiūlytą kainą lyginant ją su perkančiosios organizacijos nustatytu maksimaliu pirkimo biudžetu (</w:t>
      </w:r>
      <w:proofErr w:type="spellStart"/>
      <w:r w:rsidR="00025EFC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025EFC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proofErr w:type="spellEnd"/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3B6C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30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 w:rsidR="00D30FA7" w:rsidRPr="00D30F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60 000,00 Eur su PVM</w:t>
      </w:r>
      <w:r w:rsidRPr="00266A97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6FDEE3E6" w14:textId="0B08EF09" w:rsidR="00412970" w:rsidRPr="00266A97" w:rsidRDefault="00412970" w:rsidP="00025EFC">
      <w:pPr>
        <w:ind w:left="720"/>
        <w:rPr>
          <w:rFonts w:ascii="Calibri" w:hAnsi="Calibri" w:cs="Calibri"/>
          <w:sz w:val="26"/>
          <w:szCs w:val="26"/>
        </w:rPr>
      </w:pPr>
      <w:r w:rsidRPr="00266A97">
        <w:rPr>
          <w:rFonts w:ascii="Calibri" w:hAnsi="Calibri" w:cs="Calibri"/>
          <w:sz w:val="26"/>
          <w:szCs w:val="26"/>
        </w:rPr>
        <w:lastRenderedPageBreak/>
        <w:t xml:space="preserve">                  </w:t>
      </w:r>
      <w:r w:rsidRPr="00266A97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3F9790E2" wp14:editId="349E0EE9">
            <wp:extent cx="2057578" cy="647756"/>
            <wp:effectExtent l="0" t="0" r="0" b="0"/>
            <wp:docPr id="1285190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908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578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F355F" w14:textId="51CD1309" w:rsidR="00412970" w:rsidRPr="00266A97" w:rsidRDefault="00412970" w:rsidP="00412970">
      <w:pPr>
        <w:ind w:left="720"/>
        <w:rPr>
          <w:rFonts w:ascii="Calibri" w:hAnsi="Calibri" w:cs="Calibri"/>
        </w:rPr>
      </w:pPr>
      <w:r w:rsidRPr="00266A97">
        <w:rPr>
          <w:rFonts w:ascii="Calibri" w:hAnsi="Calibri" w:cs="Calibri"/>
        </w:rPr>
        <w:t>Pastaba: Jei tiekėjo pasiūlyta kaina (</w:t>
      </w:r>
      <w:proofErr w:type="spellStart"/>
      <w:r w:rsidR="00FA21E5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FA21E5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i</w:t>
      </w:r>
      <w:proofErr w:type="spellEnd"/>
      <w:r w:rsidRPr="00266A97">
        <w:rPr>
          <w:rFonts w:ascii="Calibri" w:hAnsi="Calibri" w:cs="Calibri"/>
          <w:sz w:val="28"/>
          <w:szCs w:val="28"/>
        </w:rPr>
        <w:t>)</w:t>
      </w:r>
      <w:r w:rsidRPr="00266A97">
        <w:rPr>
          <w:rFonts w:ascii="Calibri" w:hAnsi="Calibri" w:cs="Calibri"/>
        </w:rPr>
        <w:t xml:space="preserve"> lygi maksimaliam biudžetui </w:t>
      </w:r>
      <w:r w:rsidR="00FA21E5" w:rsidRPr="00266A97">
        <w:rPr>
          <w:rFonts w:ascii="Calibri" w:hAnsi="Calibri" w:cs="Calibri"/>
        </w:rPr>
        <w:t>(</w:t>
      </w:r>
      <w:proofErr w:type="spellStart"/>
      <w:r w:rsidR="00FA21E5" w:rsidRPr="00266A97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</w:t>
      </w:r>
      <w:r w:rsidR="00FA21E5" w:rsidRPr="00266A97">
        <w:rPr>
          <w:rFonts w:ascii="Calibri" w:eastAsia="Times New Roman" w:hAnsi="Calibri" w:cs="Calibri"/>
          <w:kern w:val="0"/>
          <w:sz w:val="28"/>
          <w:szCs w:val="28"/>
          <w:vertAlign w:val="subscript"/>
          <w:lang w:eastAsia="en-GB"/>
          <w14:ligatures w14:val="none"/>
        </w:rPr>
        <w:t>max</w:t>
      </w:r>
      <w:proofErr w:type="spellEnd"/>
      <w:r w:rsidRPr="00266A97">
        <w:rPr>
          <w:rFonts w:ascii="Calibri" w:hAnsi="Calibri" w:cs="Calibri"/>
        </w:rPr>
        <w:t>), tiekėjas už kainą gauna 0 balų, tačiau balas už kokybę išlieka.</w:t>
      </w:r>
    </w:p>
    <w:p w14:paraId="2A49D291" w14:textId="4A0FF203" w:rsidR="00FA3651" w:rsidRPr="00BC4E7B" w:rsidRDefault="00FA3651" w:rsidP="00FA3651">
      <w:pPr>
        <w:pStyle w:val="Sraopastraipa"/>
        <w:numPr>
          <w:ilvl w:val="0"/>
          <w:numId w:val="1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C4E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Kokybės balų (</w:t>
      </w:r>
      <w:proofErr w:type="spellStart"/>
      <w:r w:rsidR="00D4166B" w:rsidRPr="00BC4E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</w:t>
      </w:r>
      <w:r w:rsidR="00D4166B" w:rsidRPr="00BC4E7B">
        <w:rPr>
          <w:rFonts w:ascii="Calibri" w:eastAsia="Times New Roman" w:hAnsi="Calibri" w:cs="Calibri"/>
          <w:b/>
          <w:bCs/>
          <w:vertAlign w:val="subscript"/>
        </w:rPr>
        <w:t>i</w:t>
      </w:r>
      <w:proofErr w:type="spellEnd"/>
      <w:r w:rsidRPr="00BC4E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) apskaičiavimas:</w:t>
      </w:r>
      <w:r w:rsidRPr="00BC4E7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A3E2FEF" w14:textId="60BC13A0" w:rsidR="00FA3651" w:rsidRPr="00BC4E7B" w:rsidRDefault="00FA3651" w:rsidP="00FA3651">
      <w:pPr>
        <w:pStyle w:val="Sraopastraipa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C4E7B">
        <w:rPr>
          <w:rFonts w:ascii="Calibri" w:eastAsia="Times New Roman" w:hAnsi="Calibri" w:cs="Calibri"/>
          <w:kern w:val="0"/>
          <w:lang w:eastAsia="en-GB"/>
          <w14:ligatures w14:val="none"/>
        </w:rPr>
        <w:t>Kokybės balai apskaičiuojami sudėjus svertines techninių parametrų reikšmes:</w:t>
      </w:r>
    </w:p>
    <w:p w14:paraId="6876E604" w14:textId="462F203D" w:rsidR="005242E6" w:rsidRPr="00BC4E7B" w:rsidRDefault="005242E6" w:rsidP="005242E6">
      <w:pPr>
        <w:ind w:left="720" w:firstLine="720"/>
        <w:rPr>
          <w:rFonts w:ascii="Calibri" w:hAnsi="Calibri" w:cs="Calibri"/>
          <w:sz w:val="28"/>
          <w:szCs w:val="28"/>
          <w:lang w:val="en-US"/>
        </w:rPr>
      </w:pPr>
      <w:r w:rsidRPr="00BC4E7B">
        <w:rPr>
          <w:rFonts w:ascii="Cambria Math" w:hAnsi="Cambria Math" w:cs="Cambria Math"/>
          <w:sz w:val="28"/>
          <w:szCs w:val="28"/>
          <w:lang w:val="en-US"/>
        </w:rPr>
        <w:t>𝑲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ᵢ = </w:t>
      </w:r>
      <w:proofErr w:type="gramStart"/>
      <w:r w:rsidRPr="00BC4E7B">
        <w:rPr>
          <w:rFonts w:ascii="Calibri" w:hAnsi="Calibri" w:cs="Calibri"/>
          <w:sz w:val="28"/>
          <w:szCs w:val="28"/>
          <w:lang w:val="en-US"/>
        </w:rPr>
        <w:t xml:space="preserve">(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𝐿</w:t>
      </w:r>
      <w:proofErr w:type="gramEnd"/>
      <w:r w:rsidRPr="00BC4E7B">
        <w:rPr>
          <w:rFonts w:ascii="Calibri" w:hAnsi="Calibri" w:cs="Calibri"/>
          <w:sz w:val="28"/>
          <w:szCs w:val="28"/>
          <w:lang w:val="en-US"/>
        </w:rPr>
        <w:t xml:space="preserve">₁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₁ +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𝐿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₂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₂ +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𝐿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₃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₃ +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𝐿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₄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Pr="00BC4E7B">
        <w:rPr>
          <w:rFonts w:ascii="Calibri" w:hAnsi="Calibri" w:cs="Calibri"/>
          <w:sz w:val="28"/>
          <w:szCs w:val="28"/>
          <w:lang w:val="en-US"/>
        </w:rPr>
        <w:t>₄</w:t>
      </w:r>
      <w:r w:rsidR="00BE626F" w:rsidRPr="00BC4E7B">
        <w:rPr>
          <w:rFonts w:ascii="Calibri" w:hAnsi="Calibri" w:cs="Calibri"/>
          <w:sz w:val="28"/>
          <w:szCs w:val="28"/>
          <w:lang w:val="en-US"/>
        </w:rPr>
        <w:t>+</w:t>
      </w:r>
      <w:r w:rsidR="00BE626F" w:rsidRPr="00BC4E7B">
        <w:rPr>
          <w:rFonts w:ascii="Cambria Math" w:hAnsi="Cambria Math" w:cs="Cambria Math"/>
          <w:sz w:val="28"/>
          <w:szCs w:val="28"/>
          <w:lang w:val="en-US"/>
        </w:rPr>
        <w:t xml:space="preserve"> 𝐿</w:t>
      </w:r>
      <w:r w:rsidR="00E30181" w:rsidRPr="00BC4E7B">
        <w:rPr>
          <w:rFonts w:ascii="Calibri" w:hAnsi="Calibri" w:cs="Calibri"/>
          <w:sz w:val="28"/>
          <w:szCs w:val="28"/>
          <w:vertAlign w:val="subscript"/>
          <w:lang w:val="en-US"/>
        </w:rPr>
        <w:t>5</w:t>
      </w:r>
      <w:r w:rsidR="00BE626F" w:rsidRPr="00BC4E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E30181" w:rsidRPr="00BC4E7B">
        <w:rPr>
          <w:rFonts w:ascii="Calibri" w:hAnsi="Calibri" w:cs="Calibri"/>
          <w:sz w:val="28"/>
          <w:szCs w:val="28"/>
          <w:lang w:val="en-US"/>
        </w:rPr>
        <w:t xml:space="preserve">× </w:t>
      </w:r>
      <w:r w:rsidR="00E30181"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="00E30181" w:rsidRPr="00BC4E7B">
        <w:rPr>
          <w:rFonts w:ascii="Calibri" w:hAnsi="Calibri" w:cs="Calibri"/>
          <w:sz w:val="28"/>
          <w:szCs w:val="28"/>
          <w:vertAlign w:val="subscript"/>
          <w:lang w:val="en-US"/>
        </w:rPr>
        <w:t>5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F66DC">
        <w:rPr>
          <w:rFonts w:ascii="Calibri" w:hAnsi="Calibri" w:cs="Calibri"/>
          <w:sz w:val="28"/>
          <w:szCs w:val="28"/>
          <w:lang w:val="en-US"/>
        </w:rPr>
        <w:t xml:space="preserve">+ </w:t>
      </w:r>
      <w:r w:rsidR="005F66DC" w:rsidRPr="00BC4E7B">
        <w:rPr>
          <w:rFonts w:ascii="Cambria Math" w:hAnsi="Cambria Math" w:cs="Cambria Math"/>
          <w:sz w:val="28"/>
          <w:szCs w:val="28"/>
          <w:lang w:val="en-US"/>
        </w:rPr>
        <w:t>𝐿</w:t>
      </w:r>
      <w:r w:rsidR="005F66DC">
        <w:rPr>
          <w:rFonts w:ascii="Calibri" w:hAnsi="Calibri" w:cs="Calibri"/>
          <w:sz w:val="28"/>
          <w:szCs w:val="28"/>
          <w:vertAlign w:val="subscript"/>
          <w:lang w:val="en-US"/>
        </w:rPr>
        <w:t>6</w:t>
      </w:r>
      <w:r w:rsidR="005F66DC" w:rsidRPr="00BC4E7B">
        <w:rPr>
          <w:rFonts w:ascii="Calibri" w:hAnsi="Calibri" w:cs="Calibri"/>
          <w:sz w:val="28"/>
          <w:szCs w:val="28"/>
          <w:lang w:val="en-US"/>
        </w:rPr>
        <w:t xml:space="preserve"> × </w:t>
      </w:r>
      <w:r w:rsidR="005F66DC" w:rsidRPr="00BC4E7B">
        <w:rPr>
          <w:rFonts w:ascii="Cambria Math" w:hAnsi="Cambria Math" w:cs="Cambria Math"/>
          <w:sz w:val="28"/>
          <w:szCs w:val="28"/>
          <w:lang w:val="en-US"/>
        </w:rPr>
        <w:t>𝑻</w:t>
      </w:r>
      <w:r w:rsidR="005F66DC">
        <w:rPr>
          <w:rFonts w:ascii="Calibri" w:hAnsi="Calibri" w:cs="Calibri"/>
          <w:sz w:val="28"/>
          <w:szCs w:val="28"/>
          <w:vertAlign w:val="subscript"/>
          <w:lang w:val="en-US"/>
        </w:rPr>
        <w:t>6</w:t>
      </w:r>
      <w:r w:rsidRPr="00BC4E7B">
        <w:rPr>
          <w:rFonts w:ascii="Calibri" w:hAnsi="Calibri" w:cs="Calibri"/>
          <w:sz w:val="28"/>
          <w:szCs w:val="28"/>
          <w:lang w:val="en-US"/>
        </w:rPr>
        <w:t xml:space="preserve">) × </w:t>
      </w:r>
      <w:r w:rsidRPr="00BC4E7B">
        <w:rPr>
          <w:rFonts w:ascii="Cambria Math" w:hAnsi="Cambria Math" w:cs="Cambria Math"/>
          <w:sz w:val="28"/>
          <w:szCs w:val="28"/>
          <w:lang w:val="en-US"/>
        </w:rPr>
        <w:t>𝒀</w:t>
      </w:r>
    </w:p>
    <w:p w14:paraId="215B0348" w14:textId="77777777" w:rsidR="008E40D3" w:rsidRPr="009B644C" w:rsidRDefault="008E40D3" w:rsidP="008E40D3">
      <w:pPr>
        <w:pStyle w:val="Antrat1"/>
        <w:rPr>
          <w:rFonts w:ascii="Calibri" w:hAnsi="Calibri" w:cs="Calibri"/>
          <w:color w:val="auto"/>
          <w:sz w:val="24"/>
          <w:szCs w:val="24"/>
        </w:rPr>
      </w:pPr>
      <w:r w:rsidRPr="009B644C">
        <w:rPr>
          <w:rFonts w:ascii="Calibri" w:hAnsi="Calibri" w:cs="Calibri"/>
          <w:color w:val="auto"/>
          <w:sz w:val="24"/>
          <w:szCs w:val="24"/>
        </w:rPr>
        <w:t>Kur:</w:t>
      </w:r>
    </w:p>
    <w:p w14:paraId="3B99AF02" w14:textId="77777777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>
        <w:rPr>
          <w:rFonts w:ascii="Cambria Math" w:hAnsi="Cambria Math" w:cs="Cambria Math"/>
        </w:rPr>
        <w:t>𝑬</w:t>
      </w:r>
      <w:r>
        <w:rPr>
          <w:rFonts w:ascii="Arial" w:hAnsi="Arial" w:cs="Arial"/>
        </w:rPr>
        <w:t>ᵢ</w:t>
      </w:r>
      <w:r>
        <w:t xml:space="preserve"> – </w:t>
      </w:r>
      <w:r w:rsidRPr="009B644C">
        <w:rPr>
          <w:lang w:val="lt-LT"/>
        </w:rPr>
        <w:t xml:space="preserve">bendras vertinamo pasiūlymo ekonominio naudingumo </w:t>
      </w:r>
      <w:proofErr w:type="gramStart"/>
      <w:r w:rsidRPr="009B644C">
        <w:rPr>
          <w:lang w:val="lt-LT"/>
        </w:rPr>
        <w:t>balas;</w:t>
      </w:r>
      <w:proofErr w:type="gramEnd"/>
    </w:p>
    <w:p w14:paraId="11DBAF01" w14:textId="77777777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𝑷</w:t>
      </w:r>
      <w:r w:rsidRPr="009B644C">
        <w:rPr>
          <w:rFonts w:ascii="Arial" w:hAnsi="Arial" w:cs="Arial"/>
          <w:lang w:val="lt-LT"/>
        </w:rPr>
        <w:t>ᵢ</w:t>
      </w:r>
      <w:r w:rsidRPr="009B644C">
        <w:rPr>
          <w:lang w:val="lt-LT"/>
        </w:rPr>
        <w:t xml:space="preserve"> – vertinamo pasiūlymo kaina su PVM;</w:t>
      </w:r>
    </w:p>
    <w:p w14:paraId="33D57395" w14:textId="77777777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𝑷ₘₐₓ</w:t>
      </w:r>
      <w:r w:rsidRPr="009B644C">
        <w:rPr>
          <w:lang w:val="lt-LT"/>
        </w:rPr>
        <w:t xml:space="preserve"> – perkančiosios organizacijos nustatyta maksimali pirkimo vertė (biudžetas) su PVM;</w:t>
      </w:r>
    </w:p>
    <w:p w14:paraId="1EBFFA24" w14:textId="56B1282C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𝑿</w:t>
      </w:r>
      <w:r w:rsidRPr="009B644C">
        <w:rPr>
          <w:lang w:val="lt-LT"/>
        </w:rPr>
        <w:t xml:space="preserve"> – kainos lyginamasis svoris (</w:t>
      </w:r>
      <w:r w:rsidR="007C745D">
        <w:rPr>
          <w:lang w:val="lt-LT"/>
        </w:rPr>
        <w:t>8</w:t>
      </w:r>
      <w:r w:rsidRPr="009B644C">
        <w:rPr>
          <w:lang w:val="lt-LT"/>
        </w:rPr>
        <w:t>0);</w:t>
      </w:r>
    </w:p>
    <w:p w14:paraId="45EBF6D8" w14:textId="0B8B3853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𝒀</w:t>
      </w:r>
      <w:r w:rsidRPr="009B644C">
        <w:rPr>
          <w:lang w:val="lt-LT"/>
        </w:rPr>
        <w:t xml:space="preserve"> – techninių reikalavimų lyginamasis svoris (</w:t>
      </w:r>
      <w:r w:rsidR="007C745D">
        <w:rPr>
          <w:lang w:val="lt-LT"/>
        </w:rPr>
        <w:t>2</w:t>
      </w:r>
      <w:r w:rsidRPr="009B644C">
        <w:rPr>
          <w:lang w:val="lt-LT"/>
        </w:rPr>
        <w:t>0);</w:t>
      </w:r>
    </w:p>
    <w:p w14:paraId="0869860D" w14:textId="3B45037B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9B644C">
        <w:rPr>
          <w:rFonts w:ascii="Cambria Math" w:hAnsi="Cambria Math" w:cs="Cambria Math"/>
          <w:lang w:val="lt-LT"/>
        </w:rPr>
        <w:t>𝐿</w:t>
      </w:r>
      <w:r w:rsidRPr="009B644C">
        <w:rPr>
          <w:lang w:val="lt-LT"/>
        </w:rPr>
        <w:t xml:space="preserve">₁, </w:t>
      </w:r>
      <w:r w:rsidRPr="009B644C">
        <w:rPr>
          <w:rFonts w:ascii="Cambria Math" w:hAnsi="Cambria Math" w:cs="Cambria Math"/>
          <w:lang w:val="lt-LT"/>
        </w:rPr>
        <w:t>𝐿</w:t>
      </w:r>
      <w:r w:rsidRPr="009B644C">
        <w:rPr>
          <w:lang w:val="lt-LT"/>
        </w:rPr>
        <w:t xml:space="preserve">₂, </w:t>
      </w:r>
      <w:r w:rsidRPr="009B644C">
        <w:rPr>
          <w:rFonts w:ascii="Cambria Math" w:hAnsi="Cambria Math" w:cs="Cambria Math"/>
          <w:lang w:val="lt-LT"/>
        </w:rPr>
        <w:t>𝐿</w:t>
      </w:r>
      <w:r w:rsidRPr="009B644C">
        <w:rPr>
          <w:lang w:val="lt-LT"/>
        </w:rPr>
        <w:t xml:space="preserve">₃, </w:t>
      </w:r>
      <w:r w:rsidRPr="009B644C">
        <w:rPr>
          <w:rFonts w:ascii="Cambria Math" w:hAnsi="Cambria Math" w:cs="Cambria Math"/>
          <w:lang w:val="lt-LT"/>
        </w:rPr>
        <w:t>𝐿</w:t>
      </w:r>
      <w:r w:rsidRPr="009B644C">
        <w:rPr>
          <w:lang w:val="lt-LT"/>
        </w:rPr>
        <w:t>₄</w:t>
      </w:r>
      <w:r w:rsidR="007C745D">
        <w:rPr>
          <w:lang w:val="lt-LT"/>
        </w:rPr>
        <w:t xml:space="preserve">, </w:t>
      </w:r>
      <w:r w:rsidR="007C745D" w:rsidRPr="009B644C">
        <w:rPr>
          <w:rFonts w:ascii="Cambria Math" w:hAnsi="Cambria Math" w:cs="Cambria Math"/>
          <w:lang w:val="lt-LT"/>
        </w:rPr>
        <w:t>𝐿</w:t>
      </w:r>
      <w:r w:rsidR="007C745D" w:rsidRPr="007C745D">
        <w:rPr>
          <w:vertAlign w:val="subscript"/>
          <w:lang w:val="lt-LT"/>
        </w:rPr>
        <w:t>5</w:t>
      </w:r>
      <w:r w:rsidR="005F66DC">
        <w:rPr>
          <w:vertAlign w:val="subscript"/>
          <w:lang w:val="lt-LT"/>
        </w:rPr>
        <w:t xml:space="preserve">, </w:t>
      </w:r>
      <w:r w:rsidR="005F66DC" w:rsidRPr="009B644C">
        <w:rPr>
          <w:rFonts w:ascii="Cambria Math" w:hAnsi="Cambria Math" w:cs="Cambria Math"/>
          <w:lang w:val="lt-LT"/>
        </w:rPr>
        <w:t>𝐿</w:t>
      </w:r>
      <w:r w:rsidR="005F66DC">
        <w:rPr>
          <w:vertAlign w:val="subscript"/>
          <w:lang w:val="lt-LT"/>
        </w:rPr>
        <w:t xml:space="preserve">6 </w:t>
      </w:r>
      <w:r w:rsidR="007C745D">
        <w:rPr>
          <w:lang w:val="lt-LT"/>
        </w:rPr>
        <w:t xml:space="preserve"> </w:t>
      </w:r>
      <w:r w:rsidRPr="009B644C">
        <w:rPr>
          <w:lang w:val="lt-LT"/>
        </w:rPr>
        <w:t>– parametrų lyginamieji svoriai;</w:t>
      </w:r>
    </w:p>
    <w:p w14:paraId="5348626F" w14:textId="124252AE" w:rsidR="008E40D3" w:rsidRPr="009B644C" w:rsidRDefault="008E40D3" w:rsidP="008E40D3">
      <w:pPr>
        <w:pStyle w:val="Sraassuenkleliais"/>
        <w:tabs>
          <w:tab w:val="num" w:pos="360"/>
        </w:tabs>
        <w:ind w:left="360" w:hanging="360"/>
        <w:rPr>
          <w:lang w:val="lt-LT"/>
        </w:rPr>
      </w:pPr>
      <w:r w:rsidRPr="007C745D">
        <w:rPr>
          <w:rFonts w:ascii="Cambria Math" w:hAnsi="Cambria Math" w:cs="Cambria Math"/>
          <w:lang w:val="lt-LT"/>
        </w:rPr>
        <w:t>𝑻</w:t>
      </w:r>
      <w:r w:rsidRPr="007C745D">
        <w:rPr>
          <w:lang w:val="lt-LT"/>
        </w:rPr>
        <w:t xml:space="preserve">₁, </w:t>
      </w:r>
      <w:r w:rsidRPr="007C745D">
        <w:rPr>
          <w:rFonts w:ascii="Cambria Math" w:hAnsi="Cambria Math" w:cs="Cambria Math"/>
          <w:lang w:val="lt-LT"/>
        </w:rPr>
        <w:t>𝑻</w:t>
      </w:r>
      <w:r w:rsidRPr="007C745D">
        <w:rPr>
          <w:lang w:val="lt-LT"/>
        </w:rPr>
        <w:t xml:space="preserve">₂, </w:t>
      </w:r>
      <w:r w:rsidRPr="007C745D">
        <w:rPr>
          <w:rFonts w:ascii="Cambria Math" w:hAnsi="Cambria Math" w:cs="Cambria Math"/>
          <w:lang w:val="lt-LT"/>
        </w:rPr>
        <w:t>𝑻</w:t>
      </w:r>
      <w:r w:rsidRPr="007C745D">
        <w:rPr>
          <w:lang w:val="lt-LT"/>
        </w:rPr>
        <w:t xml:space="preserve">₃, </w:t>
      </w:r>
      <w:r w:rsidRPr="007C745D">
        <w:rPr>
          <w:rFonts w:ascii="Cambria Math" w:hAnsi="Cambria Math" w:cs="Cambria Math"/>
          <w:lang w:val="lt-LT"/>
        </w:rPr>
        <w:t>𝑻</w:t>
      </w:r>
      <w:r w:rsidRPr="007C745D">
        <w:rPr>
          <w:lang w:val="lt-LT"/>
        </w:rPr>
        <w:t>₄</w:t>
      </w:r>
      <w:r w:rsidR="007C745D">
        <w:rPr>
          <w:lang w:val="lt-LT"/>
        </w:rPr>
        <w:t xml:space="preserve">, </w:t>
      </w:r>
      <w:r w:rsidR="007C745D" w:rsidRPr="007C745D">
        <w:rPr>
          <w:rFonts w:ascii="Cambria Math" w:hAnsi="Cambria Math" w:cs="Cambria Math"/>
          <w:lang w:val="lt-LT"/>
        </w:rPr>
        <w:t>𝑻</w:t>
      </w:r>
      <w:r w:rsidR="007C745D" w:rsidRPr="007C745D">
        <w:rPr>
          <w:vertAlign w:val="subscript"/>
          <w:lang w:val="lt-LT"/>
        </w:rPr>
        <w:t>5</w:t>
      </w:r>
      <w:r w:rsidR="00F37872">
        <w:rPr>
          <w:lang w:val="lt-LT"/>
        </w:rPr>
        <w:t>, T</w:t>
      </w:r>
      <w:r w:rsidR="00F37872" w:rsidRPr="00333C5A">
        <w:rPr>
          <w:vertAlign w:val="subscript"/>
          <w:lang w:val="lt-LT"/>
        </w:rPr>
        <w:t>6</w:t>
      </w:r>
      <w:r w:rsidRPr="009B644C">
        <w:rPr>
          <w:lang w:val="lt-LT"/>
        </w:rPr>
        <w:t>– tiekėjo pasiūlytos parametrų reikšmės;</w:t>
      </w:r>
    </w:p>
    <w:p w14:paraId="6D604599" w14:textId="77777777" w:rsidR="008E40D3" w:rsidRDefault="008E40D3" w:rsidP="0090008D">
      <w:pPr>
        <w:ind w:left="720" w:firstLine="720"/>
        <w:rPr>
          <w:rFonts w:ascii="Calibri" w:hAnsi="Calibri" w:cs="Calibri"/>
          <w:b/>
          <w:bCs/>
          <w:sz w:val="28"/>
          <w:szCs w:val="28"/>
        </w:rPr>
      </w:pPr>
    </w:p>
    <w:p w14:paraId="5FDA4E0C" w14:textId="77777777" w:rsidR="005B1898" w:rsidRPr="00100841" w:rsidRDefault="005B1898" w:rsidP="0090008D">
      <w:pPr>
        <w:ind w:left="720" w:firstLine="720"/>
        <w:rPr>
          <w:rFonts w:ascii="Calibri" w:hAnsi="Calibri" w:cs="Calibri"/>
          <w:b/>
          <w:bCs/>
          <w:sz w:val="28"/>
          <w:szCs w:val="28"/>
        </w:rPr>
      </w:pPr>
    </w:p>
    <w:p w14:paraId="0C801F51" w14:textId="53F4C0F8" w:rsidR="00FA3651" w:rsidRPr="00266A97" w:rsidRDefault="00FA3651" w:rsidP="00412970">
      <w:pPr>
        <w:ind w:left="720"/>
        <w:rPr>
          <w:rFonts w:ascii="Calibri" w:hAnsi="Calibri" w:cs="Calibri"/>
        </w:rPr>
      </w:pPr>
    </w:p>
    <w:p w14:paraId="1444D9FF" w14:textId="6F962145" w:rsidR="00442A83" w:rsidRPr="00266A97" w:rsidRDefault="00442A83" w:rsidP="00155549">
      <w:pPr>
        <w:ind w:left="720"/>
        <w:rPr>
          <w:rFonts w:ascii="Calibri" w:hAnsi="Calibri" w:cs="Calibri"/>
        </w:rPr>
      </w:pPr>
    </w:p>
    <w:p w14:paraId="0DF721B4" w14:textId="70C6F446" w:rsidR="004E233A" w:rsidRPr="00266A97" w:rsidRDefault="004E233A" w:rsidP="005F44F8">
      <w:pPr>
        <w:rPr>
          <w:rFonts w:ascii="Calibri" w:hAnsi="Calibri" w:cs="Calibri"/>
          <w:b/>
          <w:bCs/>
        </w:rPr>
      </w:pPr>
    </w:p>
    <w:sectPr w:rsidR="004E233A" w:rsidRPr="00266A97" w:rsidSect="008E76C5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BAB10C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4547"/>
    <w:multiLevelType w:val="hybridMultilevel"/>
    <w:tmpl w:val="0FF0A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3221"/>
    <w:multiLevelType w:val="multilevel"/>
    <w:tmpl w:val="C4E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4742E"/>
    <w:multiLevelType w:val="hybridMultilevel"/>
    <w:tmpl w:val="9014F5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58B8"/>
    <w:multiLevelType w:val="multilevel"/>
    <w:tmpl w:val="F924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381680">
    <w:abstractNumId w:val="4"/>
  </w:num>
  <w:num w:numId="2" w16cid:durableId="1708678367">
    <w:abstractNumId w:val="2"/>
  </w:num>
  <w:num w:numId="3" w16cid:durableId="110636408">
    <w:abstractNumId w:val="1"/>
  </w:num>
  <w:num w:numId="4" w16cid:durableId="367224279">
    <w:abstractNumId w:val="3"/>
  </w:num>
  <w:num w:numId="5" w16cid:durableId="139200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F"/>
    <w:rsid w:val="00025EFC"/>
    <w:rsid w:val="00090B09"/>
    <w:rsid w:val="0009137E"/>
    <w:rsid w:val="00092D49"/>
    <w:rsid w:val="000A2F3F"/>
    <w:rsid w:val="00100841"/>
    <w:rsid w:val="00155549"/>
    <w:rsid w:val="00173A0D"/>
    <w:rsid w:val="00174E5A"/>
    <w:rsid w:val="001E7D10"/>
    <w:rsid w:val="002219B1"/>
    <w:rsid w:val="00266A97"/>
    <w:rsid w:val="00333C5A"/>
    <w:rsid w:val="003802AA"/>
    <w:rsid w:val="003B6C8D"/>
    <w:rsid w:val="003C2F1F"/>
    <w:rsid w:val="003C4533"/>
    <w:rsid w:val="00412970"/>
    <w:rsid w:val="00442A83"/>
    <w:rsid w:val="0045390B"/>
    <w:rsid w:val="00464D84"/>
    <w:rsid w:val="004E233A"/>
    <w:rsid w:val="005242E6"/>
    <w:rsid w:val="00556CD8"/>
    <w:rsid w:val="005678AC"/>
    <w:rsid w:val="0057519B"/>
    <w:rsid w:val="00595F48"/>
    <w:rsid w:val="005A4793"/>
    <w:rsid w:val="005B1898"/>
    <w:rsid w:val="005B1BBB"/>
    <w:rsid w:val="005F44F8"/>
    <w:rsid w:val="005F66DC"/>
    <w:rsid w:val="005F737D"/>
    <w:rsid w:val="00674517"/>
    <w:rsid w:val="0068188D"/>
    <w:rsid w:val="00683A2A"/>
    <w:rsid w:val="00687CE2"/>
    <w:rsid w:val="006D1C5D"/>
    <w:rsid w:val="00722091"/>
    <w:rsid w:val="00781AF5"/>
    <w:rsid w:val="007A74DC"/>
    <w:rsid w:val="007B030A"/>
    <w:rsid w:val="007B1D5D"/>
    <w:rsid w:val="007C6ED3"/>
    <w:rsid w:val="007C745D"/>
    <w:rsid w:val="00842646"/>
    <w:rsid w:val="008E40D3"/>
    <w:rsid w:val="008E76C5"/>
    <w:rsid w:val="0090008D"/>
    <w:rsid w:val="00913FFC"/>
    <w:rsid w:val="00923B11"/>
    <w:rsid w:val="009A79A1"/>
    <w:rsid w:val="009B644C"/>
    <w:rsid w:val="00A66B5B"/>
    <w:rsid w:val="00A73C40"/>
    <w:rsid w:val="00AD4D6B"/>
    <w:rsid w:val="00B05173"/>
    <w:rsid w:val="00B651D1"/>
    <w:rsid w:val="00B71DF0"/>
    <w:rsid w:val="00B7482A"/>
    <w:rsid w:val="00BB3CFF"/>
    <w:rsid w:val="00BC4E7B"/>
    <w:rsid w:val="00BE626F"/>
    <w:rsid w:val="00BF43BD"/>
    <w:rsid w:val="00C42257"/>
    <w:rsid w:val="00CE3721"/>
    <w:rsid w:val="00D23322"/>
    <w:rsid w:val="00D30FA7"/>
    <w:rsid w:val="00D3136D"/>
    <w:rsid w:val="00D40457"/>
    <w:rsid w:val="00D4166B"/>
    <w:rsid w:val="00D67298"/>
    <w:rsid w:val="00D678B6"/>
    <w:rsid w:val="00D75CC8"/>
    <w:rsid w:val="00DE731D"/>
    <w:rsid w:val="00DF619E"/>
    <w:rsid w:val="00E30181"/>
    <w:rsid w:val="00EA1884"/>
    <w:rsid w:val="00EA54AB"/>
    <w:rsid w:val="00EC0DA2"/>
    <w:rsid w:val="00EC0E4A"/>
    <w:rsid w:val="00ED498A"/>
    <w:rsid w:val="00F37872"/>
    <w:rsid w:val="00F6512F"/>
    <w:rsid w:val="00F858EF"/>
    <w:rsid w:val="00FA21E5"/>
    <w:rsid w:val="00FA3651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AAF"/>
  <w15:chartTrackingRefBased/>
  <w15:docId w15:val="{94896F0D-CDE0-451C-90CD-718A916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2F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2F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2F1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2F1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2F1F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2F1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2F1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2F1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2F1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2F1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2F1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2F1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C2F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2F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2F1F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C2F1F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C42257"/>
    <w:pPr>
      <w:suppressAutoHyphens/>
      <w:spacing w:after="0" w:line="240" w:lineRule="auto"/>
    </w:pPr>
    <w:rPr>
      <w:rFonts w:ascii="Calibri" w:eastAsia="SimSun" w:hAnsi="Calibri" w:cs="font220"/>
      <w:kern w:val="0"/>
      <w:sz w:val="22"/>
      <w:szCs w:val="22"/>
      <w:lang w:val="lt-LT" w:eastAsia="ar-SA"/>
      <w14:ligatures w14:val="none"/>
    </w:rPr>
  </w:style>
  <w:style w:type="character" w:customStyle="1" w:styleId="math-inline">
    <w:name w:val="math-inline"/>
    <w:basedOn w:val="Numatytasispastraiposriftas"/>
    <w:rsid w:val="00442A83"/>
  </w:style>
  <w:style w:type="paragraph" w:styleId="Sraassuenkleliais">
    <w:name w:val="List Bullet"/>
    <w:basedOn w:val="prastasis"/>
    <w:uiPriority w:val="99"/>
    <w:unhideWhenUsed/>
    <w:rsid w:val="008E40D3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Pataisymai">
    <w:name w:val="Revision"/>
    <w:hidden/>
    <w:uiPriority w:val="99"/>
    <w:semiHidden/>
    <w:rsid w:val="009A79A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Šimkevičius</dc:creator>
  <cp:keywords/>
  <dc:description/>
  <cp:lastModifiedBy>Egidija Indrulionienė</cp:lastModifiedBy>
  <cp:revision>45</cp:revision>
  <dcterms:created xsi:type="dcterms:W3CDTF">2026-03-24T12:37:00Z</dcterms:created>
  <dcterms:modified xsi:type="dcterms:W3CDTF">2026-04-01T06:13:00Z</dcterms:modified>
</cp:coreProperties>
</file>