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320E72" w:rsidRPr="00C970C8" w:rsidRDefault="00692362" w:rsidP="00C970C8">
      <w:pPr>
        <w:tabs>
          <w:tab w:val="left" w:pos="709"/>
          <w:tab w:val="left" w:pos="851"/>
          <w:tab w:val="left" w:pos="993"/>
        </w:tabs>
        <w:jc w:val="center"/>
        <w:rPr>
          <w:b/>
        </w:rPr>
      </w:pPr>
      <w:r>
        <w:rPr>
          <w:b/>
        </w:rPr>
        <w:t>TECHNINĖ SPECIFIKACIJA</w:t>
      </w:r>
    </w:p>
    <w:tbl>
      <w:tblPr>
        <w:tblW w:w="10106"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645"/>
        <w:gridCol w:w="761"/>
        <w:gridCol w:w="7168"/>
      </w:tblGrid>
      <w:tr w:rsidR="00DF6D46" w:rsidRPr="00A204C4" w:rsidTr="00C32050">
        <w:trPr>
          <w:trHeight w:val="94"/>
        </w:trPr>
        <w:tc>
          <w:tcPr>
            <w:tcW w:w="532" w:type="dxa"/>
            <w:vAlign w:val="center"/>
          </w:tcPr>
          <w:p w:rsidR="00DF6D46" w:rsidRPr="00A204C4" w:rsidRDefault="00DF6D46" w:rsidP="00775E67">
            <w:pPr>
              <w:tabs>
                <w:tab w:val="left" w:pos="709"/>
                <w:tab w:val="left" w:pos="851"/>
                <w:tab w:val="left" w:pos="993"/>
              </w:tabs>
              <w:jc w:val="center"/>
              <w:rPr>
                <w:b/>
                <w:sz w:val="20"/>
                <w:szCs w:val="20"/>
              </w:rPr>
            </w:pPr>
            <w:r w:rsidRPr="00A204C4">
              <w:rPr>
                <w:b/>
                <w:sz w:val="20"/>
                <w:szCs w:val="20"/>
              </w:rPr>
              <w:t>Eil. Nr.</w:t>
            </w:r>
          </w:p>
        </w:tc>
        <w:tc>
          <w:tcPr>
            <w:tcW w:w="1645" w:type="dxa"/>
            <w:vAlign w:val="center"/>
          </w:tcPr>
          <w:p w:rsidR="00DF6D46" w:rsidRPr="00A204C4" w:rsidRDefault="00DF6D46" w:rsidP="009B6301">
            <w:pPr>
              <w:tabs>
                <w:tab w:val="left" w:pos="709"/>
                <w:tab w:val="left" w:pos="851"/>
                <w:tab w:val="left" w:pos="993"/>
              </w:tabs>
              <w:jc w:val="center"/>
              <w:rPr>
                <w:b/>
                <w:sz w:val="20"/>
                <w:szCs w:val="20"/>
              </w:rPr>
            </w:pPr>
            <w:r w:rsidRPr="00A204C4">
              <w:rPr>
                <w:b/>
                <w:sz w:val="20"/>
                <w:szCs w:val="20"/>
              </w:rPr>
              <w:t>Pavadinimas</w:t>
            </w:r>
          </w:p>
        </w:tc>
        <w:tc>
          <w:tcPr>
            <w:tcW w:w="761" w:type="dxa"/>
            <w:vAlign w:val="center"/>
          </w:tcPr>
          <w:p w:rsidR="00DF6D46" w:rsidRPr="00A204C4" w:rsidRDefault="00DF6D46" w:rsidP="00DF6D46">
            <w:pPr>
              <w:tabs>
                <w:tab w:val="left" w:pos="709"/>
                <w:tab w:val="left" w:pos="851"/>
                <w:tab w:val="left" w:pos="993"/>
              </w:tabs>
              <w:jc w:val="center"/>
              <w:rPr>
                <w:b/>
                <w:sz w:val="20"/>
                <w:szCs w:val="20"/>
              </w:rPr>
            </w:pPr>
            <w:r>
              <w:rPr>
                <w:b/>
                <w:sz w:val="20"/>
                <w:szCs w:val="20"/>
              </w:rPr>
              <w:t>Kiekis</w:t>
            </w:r>
          </w:p>
        </w:tc>
        <w:tc>
          <w:tcPr>
            <w:tcW w:w="7168" w:type="dxa"/>
            <w:vAlign w:val="center"/>
          </w:tcPr>
          <w:p w:rsidR="00DF6D46" w:rsidRPr="00A204C4" w:rsidRDefault="00DF6D46" w:rsidP="009B6301">
            <w:pPr>
              <w:tabs>
                <w:tab w:val="left" w:pos="709"/>
                <w:tab w:val="left" w:pos="851"/>
                <w:tab w:val="left" w:pos="993"/>
              </w:tabs>
              <w:jc w:val="center"/>
              <w:rPr>
                <w:b/>
                <w:sz w:val="20"/>
                <w:szCs w:val="20"/>
              </w:rPr>
            </w:pPr>
            <w:r w:rsidRPr="00A204C4">
              <w:rPr>
                <w:b/>
                <w:sz w:val="20"/>
                <w:szCs w:val="20"/>
              </w:rPr>
              <w:t>Aprašymas (techninė specifikacija)</w:t>
            </w:r>
          </w:p>
        </w:tc>
      </w:tr>
      <w:tr w:rsidR="00E0666C" w:rsidRPr="00A204C4" w:rsidTr="00C32050">
        <w:trPr>
          <w:trHeight w:val="1438"/>
        </w:trPr>
        <w:tc>
          <w:tcPr>
            <w:tcW w:w="532" w:type="dxa"/>
            <w:vAlign w:val="center"/>
          </w:tcPr>
          <w:p w:rsidR="00E0666C" w:rsidRDefault="00E0666C" w:rsidP="00E0666C">
            <w:pPr>
              <w:tabs>
                <w:tab w:val="left" w:pos="709"/>
                <w:tab w:val="left" w:pos="851"/>
                <w:tab w:val="left" w:pos="993"/>
              </w:tabs>
              <w:jc w:val="center"/>
              <w:rPr>
                <w:sz w:val="20"/>
                <w:szCs w:val="20"/>
              </w:rPr>
            </w:pPr>
            <w:r>
              <w:rPr>
                <w:sz w:val="20"/>
                <w:szCs w:val="20"/>
              </w:rPr>
              <w:t xml:space="preserve">1. </w:t>
            </w:r>
          </w:p>
        </w:tc>
        <w:tc>
          <w:tcPr>
            <w:tcW w:w="1645" w:type="dxa"/>
            <w:tcBorders>
              <w:top w:val="single" w:sz="4" w:space="0" w:color="000000"/>
              <w:left w:val="single" w:sz="4" w:space="0" w:color="000000"/>
              <w:bottom w:val="single" w:sz="4" w:space="0" w:color="000000"/>
              <w:right w:val="single" w:sz="4" w:space="0" w:color="auto"/>
            </w:tcBorders>
            <w:shd w:val="clear" w:color="auto" w:fill="auto"/>
            <w:vAlign w:val="center"/>
          </w:tcPr>
          <w:p w:rsidR="00E0666C" w:rsidRDefault="00C32050" w:rsidP="00E0666C">
            <w:pPr>
              <w:jc w:val="center"/>
              <w:rPr>
                <w:sz w:val="20"/>
                <w:szCs w:val="20"/>
              </w:rPr>
            </w:pPr>
            <w:r w:rsidRPr="00C32050">
              <w:rPr>
                <w:sz w:val="20"/>
                <w:szCs w:val="20"/>
              </w:rPr>
              <w:t>Maršrutizatorius</w:t>
            </w:r>
          </w:p>
        </w:tc>
        <w:tc>
          <w:tcPr>
            <w:tcW w:w="761" w:type="dxa"/>
            <w:tcBorders>
              <w:top w:val="single" w:sz="4" w:space="0" w:color="auto"/>
              <w:left w:val="single" w:sz="4" w:space="0" w:color="auto"/>
              <w:bottom w:val="single" w:sz="4" w:space="0" w:color="auto"/>
              <w:right w:val="single" w:sz="4" w:space="0" w:color="auto"/>
            </w:tcBorders>
            <w:vAlign w:val="center"/>
          </w:tcPr>
          <w:p w:rsidR="00E0666C" w:rsidRPr="00355489" w:rsidRDefault="00C32050" w:rsidP="00E0666C">
            <w:pPr>
              <w:tabs>
                <w:tab w:val="left" w:pos="210"/>
              </w:tabs>
              <w:jc w:val="center"/>
              <w:rPr>
                <w:sz w:val="18"/>
                <w:szCs w:val="18"/>
              </w:rPr>
            </w:pPr>
            <w:r>
              <w:rPr>
                <w:sz w:val="18"/>
                <w:szCs w:val="18"/>
              </w:rPr>
              <w:t>2</w:t>
            </w:r>
          </w:p>
        </w:tc>
        <w:tc>
          <w:tcPr>
            <w:tcW w:w="7168" w:type="dxa"/>
            <w:tcBorders>
              <w:top w:val="single" w:sz="4" w:space="0" w:color="auto"/>
              <w:left w:val="single" w:sz="4" w:space="0" w:color="auto"/>
              <w:right w:val="single" w:sz="4" w:space="0" w:color="auto"/>
            </w:tcBorders>
          </w:tcPr>
          <w:p w:rsidR="00C32050" w:rsidRPr="00C32050" w:rsidRDefault="00C32050" w:rsidP="00C32050">
            <w:pPr>
              <w:tabs>
                <w:tab w:val="left" w:pos="192"/>
                <w:tab w:val="left" w:pos="260"/>
              </w:tabs>
              <w:rPr>
                <w:b/>
                <w:sz w:val="18"/>
                <w:szCs w:val="18"/>
              </w:rPr>
            </w:pPr>
            <w:r w:rsidRPr="00C32050">
              <w:rPr>
                <w:b/>
                <w:sz w:val="18"/>
                <w:szCs w:val="18"/>
              </w:rPr>
              <w:t>1.</w:t>
            </w:r>
            <w:r w:rsidRPr="00C32050">
              <w:rPr>
                <w:b/>
                <w:sz w:val="18"/>
                <w:szCs w:val="18"/>
              </w:rPr>
              <w:tab/>
              <w:t>Bendrieji reikalavimai.</w:t>
            </w:r>
          </w:p>
          <w:p w:rsidR="00C32050" w:rsidRPr="00C32050" w:rsidRDefault="00C32050" w:rsidP="00C32050">
            <w:pPr>
              <w:tabs>
                <w:tab w:val="left" w:pos="192"/>
                <w:tab w:val="left" w:pos="260"/>
              </w:tabs>
              <w:rPr>
                <w:sz w:val="18"/>
                <w:szCs w:val="18"/>
              </w:rPr>
            </w:pPr>
            <w:r w:rsidRPr="00C32050">
              <w:rPr>
                <w:sz w:val="18"/>
                <w:szCs w:val="18"/>
              </w:rPr>
              <w:t xml:space="preserve">1.1. visa pateikiama techninė įranga privalo būti nauja (negali būti atnaujinta, restauruota (angl. </w:t>
            </w:r>
            <w:proofErr w:type="spellStart"/>
            <w:r w:rsidRPr="00C32050">
              <w:rPr>
                <w:sz w:val="18"/>
                <w:szCs w:val="18"/>
              </w:rPr>
              <w:t>refurbished</w:t>
            </w:r>
            <w:proofErr w:type="spellEnd"/>
            <w:r w:rsidRPr="00C32050">
              <w:rPr>
                <w:sz w:val="18"/>
                <w:szCs w:val="18"/>
              </w:rPr>
              <w:t>), nenaudota, pateikta nepažeistoje gamyklinėje pakuotėje;</w:t>
            </w:r>
          </w:p>
          <w:p w:rsidR="00C32050" w:rsidRPr="00C32050" w:rsidRDefault="00C32050" w:rsidP="00C32050">
            <w:pPr>
              <w:tabs>
                <w:tab w:val="left" w:pos="192"/>
                <w:tab w:val="left" w:pos="260"/>
              </w:tabs>
              <w:rPr>
                <w:sz w:val="18"/>
                <w:szCs w:val="18"/>
              </w:rPr>
            </w:pPr>
            <w:r w:rsidRPr="00C32050">
              <w:rPr>
                <w:sz w:val="18"/>
                <w:szCs w:val="18"/>
              </w:rPr>
              <w:t xml:space="preserve">1.2. tiekėjas turi užtikrinti, kad gamintojas nėra paskelbęs žinios apie siūlomos įrangos gamybos arba tobulinimo nutraukimą (pvz., angl. </w:t>
            </w:r>
            <w:proofErr w:type="spellStart"/>
            <w:r w:rsidRPr="00C32050">
              <w:rPr>
                <w:sz w:val="18"/>
                <w:szCs w:val="18"/>
              </w:rPr>
              <w:t>end</w:t>
            </w:r>
            <w:proofErr w:type="spellEnd"/>
            <w:r w:rsidRPr="00C32050">
              <w:rPr>
                <w:sz w:val="18"/>
                <w:szCs w:val="18"/>
              </w:rPr>
              <w:t xml:space="preserve"> </w:t>
            </w:r>
            <w:proofErr w:type="spellStart"/>
            <w:r w:rsidRPr="00C32050">
              <w:rPr>
                <w:sz w:val="18"/>
                <w:szCs w:val="18"/>
              </w:rPr>
              <w:t>of</w:t>
            </w:r>
            <w:proofErr w:type="spellEnd"/>
            <w:r w:rsidRPr="00C32050">
              <w:rPr>
                <w:sz w:val="18"/>
                <w:szCs w:val="18"/>
              </w:rPr>
              <w:t xml:space="preserve"> </w:t>
            </w:r>
            <w:proofErr w:type="spellStart"/>
            <w:r w:rsidRPr="00C32050">
              <w:rPr>
                <w:sz w:val="18"/>
                <w:szCs w:val="18"/>
              </w:rPr>
              <w:t>life</w:t>
            </w:r>
            <w:proofErr w:type="spellEnd"/>
            <w:r w:rsidRPr="00C32050">
              <w:rPr>
                <w:sz w:val="18"/>
                <w:szCs w:val="18"/>
              </w:rPr>
              <w:t xml:space="preserve"> </w:t>
            </w:r>
            <w:proofErr w:type="spellStart"/>
            <w:r w:rsidRPr="00C32050">
              <w:rPr>
                <w:sz w:val="18"/>
                <w:szCs w:val="18"/>
              </w:rPr>
              <w:t>time</w:t>
            </w:r>
            <w:proofErr w:type="spellEnd"/>
            <w:r w:rsidRPr="00C32050">
              <w:rPr>
                <w:sz w:val="18"/>
                <w:szCs w:val="18"/>
              </w:rPr>
              <w:t xml:space="preserve"> ar </w:t>
            </w:r>
            <w:proofErr w:type="spellStart"/>
            <w:r w:rsidRPr="00C32050">
              <w:rPr>
                <w:sz w:val="18"/>
                <w:szCs w:val="18"/>
              </w:rPr>
              <w:t>Discontinued</w:t>
            </w:r>
            <w:proofErr w:type="spellEnd"/>
            <w:r w:rsidRPr="00C32050">
              <w:rPr>
                <w:sz w:val="18"/>
                <w:szCs w:val="18"/>
              </w:rPr>
              <w:t xml:space="preserve">);   </w:t>
            </w:r>
          </w:p>
          <w:p w:rsidR="00C32050" w:rsidRPr="00C32050" w:rsidRDefault="00C32050" w:rsidP="00C32050">
            <w:pPr>
              <w:tabs>
                <w:tab w:val="left" w:pos="192"/>
                <w:tab w:val="left" w:pos="260"/>
              </w:tabs>
              <w:rPr>
                <w:sz w:val="18"/>
                <w:szCs w:val="18"/>
              </w:rPr>
            </w:pPr>
            <w:r w:rsidRPr="00C32050">
              <w:rPr>
                <w:sz w:val="18"/>
                <w:szCs w:val="18"/>
              </w:rPr>
              <w:t>1.3. tiekėjas turi pateikti nuorodą į gamintojo puslapį, kuriame yra tiksli pasiūlymą atitinkančios techninės ar programinės įrangos techninė specifikacija;</w:t>
            </w:r>
          </w:p>
          <w:p w:rsidR="00C32050" w:rsidRPr="00C32050" w:rsidRDefault="00C32050" w:rsidP="00C32050">
            <w:pPr>
              <w:tabs>
                <w:tab w:val="left" w:pos="192"/>
                <w:tab w:val="left" w:pos="260"/>
              </w:tabs>
              <w:rPr>
                <w:sz w:val="18"/>
                <w:szCs w:val="18"/>
              </w:rPr>
            </w:pPr>
            <w:r w:rsidRPr="00C32050">
              <w:rPr>
                <w:sz w:val="18"/>
                <w:szCs w:val="18"/>
              </w:rPr>
              <w:t>1.4. įrangos dokumentai turi būti lietuvių arba anglų kalba. Užrašai ant įrenginio ir jo dalių turi būti anglų arba lietuvių kalba. Gamintojo interneto svetainėje tvarkyklių ir dokumentų paieška atliekama anglų arba lietuvių kalba;</w:t>
            </w:r>
          </w:p>
          <w:p w:rsidR="00C32050" w:rsidRPr="00C32050" w:rsidRDefault="00C32050" w:rsidP="00C32050">
            <w:pPr>
              <w:tabs>
                <w:tab w:val="left" w:pos="192"/>
                <w:tab w:val="left" w:pos="260"/>
              </w:tabs>
              <w:rPr>
                <w:sz w:val="18"/>
                <w:szCs w:val="18"/>
              </w:rPr>
            </w:pPr>
            <w:r w:rsidRPr="00C32050">
              <w:rPr>
                <w:sz w:val="18"/>
                <w:szCs w:val="18"/>
              </w:rPr>
              <w:t>1.5. tiekėjas į savo pasiūlymą turi įtraukti visą aparatinę ir programinę įrangą bei medžiagas, reikalingas šioje specifikacijoje nurodytiems reikalavimams įvykdyti;</w:t>
            </w:r>
          </w:p>
          <w:p w:rsidR="00C32050" w:rsidRPr="00C32050" w:rsidRDefault="00C32050" w:rsidP="00C32050">
            <w:pPr>
              <w:tabs>
                <w:tab w:val="left" w:pos="192"/>
                <w:tab w:val="left" w:pos="260"/>
              </w:tabs>
              <w:rPr>
                <w:sz w:val="18"/>
                <w:szCs w:val="18"/>
              </w:rPr>
            </w:pPr>
            <w:r w:rsidRPr="00C32050">
              <w:rPr>
                <w:sz w:val="18"/>
                <w:szCs w:val="18"/>
              </w:rPr>
              <w:t>1.6. visos programinės įrangos licencijos ir palaikymo paslaugos turi būti suteikiamos ne mažiau 60 mėn. laikotarpiui;</w:t>
            </w:r>
          </w:p>
          <w:p w:rsidR="00C32050" w:rsidRPr="00C32050" w:rsidRDefault="00C32050" w:rsidP="00C32050">
            <w:pPr>
              <w:tabs>
                <w:tab w:val="left" w:pos="192"/>
                <w:tab w:val="left" w:pos="260"/>
              </w:tabs>
              <w:rPr>
                <w:sz w:val="18"/>
                <w:szCs w:val="18"/>
              </w:rPr>
            </w:pPr>
            <w:r w:rsidRPr="00C32050">
              <w:rPr>
                <w:sz w:val="18"/>
                <w:szCs w:val="18"/>
              </w:rPr>
              <w:t xml:space="preserve">1.7. visos techninės įrangos maitinimo įtampa turi būti 230V 50Hz su Europos kontinentinėje dalyje naudojama jungtimi (CEE 7/7); </w:t>
            </w:r>
          </w:p>
          <w:p w:rsidR="00C32050" w:rsidRDefault="00C32050" w:rsidP="00C32050">
            <w:pPr>
              <w:tabs>
                <w:tab w:val="left" w:pos="192"/>
                <w:tab w:val="left" w:pos="260"/>
              </w:tabs>
              <w:rPr>
                <w:sz w:val="18"/>
                <w:szCs w:val="18"/>
              </w:rPr>
            </w:pPr>
            <w:r w:rsidRPr="00C32050">
              <w:rPr>
                <w:sz w:val="18"/>
                <w:szCs w:val="18"/>
              </w:rPr>
              <w:t>1.8. pirkimo objektas - prekės (maršrutizatoriai), vadovaujantis Viešųjų pirkimų įstatymu, turi nekelti grėsmės nacionaliniam saugumui;</w:t>
            </w:r>
          </w:p>
          <w:p w:rsidR="00C32050" w:rsidRPr="00C32050" w:rsidRDefault="00C638A9" w:rsidP="00C32050">
            <w:pPr>
              <w:tabs>
                <w:tab w:val="left" w:pos="192"/>
                <w:tab w:val="left" w:pos="260"/>
              </w:tabs>
              <w:rPr>
                <w:sz w:val="18"/>
                <w:szCs w:val="18"/>
              </w:rPr>
            </w:pPr>
            <w:r>
              <w:rPr>
                <w:sz w:val="18"/>
                <w:szCs w:val="18"/>
              </w:rPr>
              <w:t>1.9</w:t>
            </w:r>
            <w:r w:rsidR="00C32050" w:rsidRPr="00C32050">
              <w:rPr>
                <w:sz w:val="18"/>
                <w:szCs w:val="18"/>
              </w:rPr>
              <w:t>. Garantinis laikotarpis ir priežiūra: visai įrangai suteikiama ne trumpesnė kaip 24 mėnesių gamintojo garantija; bendra garantinio remonto trukmė – ne ilgiau kaip 30 darbo dienų. Jei sugedusios įrangos per šį laikotarpį pataisyti neįmanoma – ji pakeičiama ekvivalentiška nauja. Siūlomos įrangos techninė priežiūra turi būti atliekama tik įrangos gamintojo sertifikuotuose techninės priežiūros centruose; įrangos tiekėjas privalo turėti gamintojo autorizuotą priežiūros centrą arba turi būti sudaręs sutartį dėl priežiūros su gamintojo autorizuotu priežiūros centru (būtina pateikti tai įrodančius dokumentus); garantiniu laikotarpiu tiekėjas privalo atlikti darbus savo lėšomis, įskaitant transportavimo išlaidas.</w:t>
            </w:r>
          </w:p>
          <w:p w:rsidR="00C32050" w:rsidRPr="00C32050" w:rsidRDefault="00C32050" w:rsidP="00C32050">
            <w:pPr>
              <w:tabs>
                <w:tab w:val="left" w:pos="192"/>
                <w:tab w:val="left" w:pos="260"/>
              </w:tabs>
              <w:rPr>
                <w:b/>
                <w:sz w:val="18"/>
                <w:szCs w:val="18"/>
              </w:rPr>
            </w:pPr>
            <w:r w:rsidRPr="00C32050">
              <w:rPr>
                <w:b/>
                <w:sz w:val="18"/>
                <w:szCs w:val="18"/>
              </w:rPr>
              <w:t>2.</w:t>
            </w:r>
            <w:r w:rsidRPr="00C32050">
              <w:rPr>
                <w:b/>
                <w:sz w:val="18"/>
                <w:szCs w:val="18"/>
              </w:rPr>
              <w:tab/>
              <w:t>Maršrutizatorius:</w:t>
            </w:r>
          </w:p>
          <w:p w:rsidR="00C32050" w:rsidRPr="00C32050" w:rsidRDefault="00C32050" w:rsidP="00C32050">
            <w:pPr>
              <w:tabs>
                <w:tab w:val="left" w:pos="192"/>
                <w:tab w:val="left" w:pos="260"/>
              </w:tabs>
              <w:rPr>
                <w:sz w:val="18"/>
                <w:szCs w:val="18"/>
              </w:rPr>
            </w:pPr>
            <w:r w:rsidRPr="00C32050">
              <w:rPr>
                <w:sz w:val="18"/>
                <w:szCs w:val="18"/>
              </w:rPr>
              <w:t>2.1. Maršrutizatorius turi būti ne didesnis nei 1RU</w:t>
            </w:r>
            <w:bookmarkStart w:id="0" w:name="_GoBack"/>
            <w:bookmarkEnd w:id="0"/>
            <w:r w:rsidRPr="00C32050">
              <w:rPr>
                <w:sz w:val="18"/>
                <w:szCs w:val="18"/>
              </w:rPr>
              <w:t xml:space="preserve"> aukščio;</w:t>
            </w:r>
          </w:p>
          <w:p w:rsidR="00C32050" w:rsidRPr="00C32050" w:rsidRDefault="00C32050" w:rsidP="00C32050">
            <w:pPr>
              <w:tabs>
                <w:tab w:val="left" w:pos="192"/>
                <w:tab w:val="left" w:pos="260"/>
              </w:tabs>
              <w:rPr>
                <w:sz w:val="18"/>
                <w:szCs w:val="18"/>
              </w:rPr>
            </w:pPr>
            <w:r w:rsidRPr="00C32050">
              <w:rPr>
                <w:sz w:val="18"/>
                <w:szCs w:val="18"/>
              </w:rPr>
              <w:t>2.2. Turi būti skirtas montavimui į 19 colių serverinę spintą;</w:t>
            </w:r>
          </w:p>
          <w:p w:rsidR="00C32050" w:rsidRPr="00C32050" w:rsidRDefault="00C32050" w:rsidP="00C32050">
            <w:pPr>
              <w:tabs>
                <w:tab w:val="left" w:pos="192"/>
                <w:tab w:val="left" w:pos="260"/>
              </w:tabs>
              <w:rPr>
                <w:sz w:val="18"/>
                <w:szCs w:val="18"/>
              </w:rPr>
            </w:pPr>
            <w:r w:rsidRPr="00C32050">
              <w:rPr>
                <w:sz w:val="18"/>
                <w:szCs w:val="18"/>
              </w:rPr>
              <w:t xml:space="preserve">2.3. </w:t>
            </w:r>
            <w:proofErr w:type="spellStart"/>
            <w:r w:rsidRPr="00C32050">
              <w:rPr>
                <w:sz w:val="18"/>
                <w:szCs w:val="18"/>
              </w:rPr>
              <w:t>Rack</w:t>
            </w:r>
            <w:proofErr w:type="spellEnd"/>
            <w:r w:rsidRPr="00C32050">
              <w:rPr>
                <w:sz w:val="18"/>
                <w:szCs w:val="18"/>
              </w:rPr>
              <w:t xml:space="preserve"> montavimo komplektas turi būti įtrauktas į komplektaciją;</w:t>
            </w:r>
          </w:p>
          <w:p w:rsidR="00C32050" w:rsidRPr="00C32050" w:rsidRDefault="00C32050" w:rsidP="00C32050">
            <w:pPr>
              <w:tabs>
                <w:tab w:val="left" w:pos="192"/>
                <w:tab w:val="left" w:pos="260"/>
              </w:tabs>
              <w:rPr>
                <w:sz w:val="18"/>
                <w:szCs w:val="18"/>
              </w:rPr>
            </w:pPr>
            <w:r w:rsidRPr="00C32050">
              <w:rPr>
                <w:sz w:val="18"/>
                <w:szCs w:val="18"/>
              </w:rPr>
              <w:t>2.4. Operatyvioji atmintis (RAM) turi būti ne mažesnė kaip 8 GB;</w:t>
            </w:r>
          </w:p>
          <w:p w:rsidR="00C32050" w:rsidRPr="00C32050" w:rsidRDefault="00C32050" w:rsidP="00C32050">
            <w:pPr>
              <w:tabs>
                <w:tab w:val="left" w:pos="192"/>
                <w:tab w:val="left" w:pos="260"/>
              </w:tabs>
              <w:rPr>
                <w:sz w:val="18"/>
                <w:szCs w:val="18"/>
              </w:rPr>
            </w:pPr>
            <w:r w:rsidRPr="00C32050">
              <w:rPr>
                <w:sz w:val="18"/>
                <w:szCs w:val="18"/>
              </w:rPr>
              <w:t>2.5. Vidinė nešiojamoji atmintis (M.2 USB arba lygiavertė) turi būti ne mažesnė kaip 16 GB;</w:t>
            </w:r>
          </w:p>
          <w:p w:rsidR="00C32050" w:rsidRPr="00C32050" w:rsidRDefault="00C32050" w:rsidP="00C32050">
            <w:pPr>
              <w:tabs>
                <w:tab w:val="left" w:pos="192"/>
                <w:tab w:val="left" w:pos="260"/>
              </w:tabs>
              <w:rPr>
                <w:sz w:val="18"/>
                <w:szCs w:val="18"/>
              </w:rPr>
            </w:pPr>
            <w:r w:rsidRPr="00C32050">
              <w:rPr>
                <w:sz w:val="18"/>
                <w:szCs w:val="18"/>
              </w:rPr>
              <w:t>2.6. Maitinimo šaltinio galia turi būti ne mažesnė kaip 150 W;</w:t>
            </w:r>
          </w:p>
          <w:p w:rsidR="00C32050" w:rsidRPr="00C32050" w:rsidRDefault="00C32050" w:rsidP="00C32050">
            <w:pPr>
              <w:tabs>
                <w:tab w:val="left" w:pos="192"/>
                <w:tab w:val="left" w:pos="260"/>
              </w:tabs>
              <w:rPr>
                <w:sz w:val="18"/>
                <w:szCs w:val="18"/>
              </w:rPr>
            </w:pPr>
            <w:r w:rsidRPr="00C32050">
              <w:rPr>
                <w:sz w:val="18"/>
                <w:szCs w:val="18"/>
              </w:rPr>
              <w:t>2.7. Maitinimo tipas – AC, 230 V, suderinamas su Europos elektros tinklais;</w:t>
            </w:r>
          </w:p>
          <w:p w:rsidR="00C32050" w:rsidRPr="00C32050" w:rsidRDefault="00C32050" w:rsidP="00C32050">
            <w:pPr>
              <w:tabs>
                <w:tab w:val="left" w:pos="192"/>
                <w:tab w:val="left" w:pos="260"/>
              </w:tabs>
              <w:rPr>
                <w:sz w:val="18"/>
                <w:szCs w:val="18"/>
              </w:rPr>
            </w:pPr>
            <w:r w:rsidRPr="00C32050">
              <w:rPr>
                <w:sz w:val="18"/>
                <w:szCs w:val="18"/>
              </w:rPr>
              <w:t>2.8. Maitinimo kabelis turi būti C13, CEE 7 tipo, ne trumpesnis kaip 1,5 m;</w:t>
            </w:r>
          </w:p>
          <w:p w:rsidR="00C32050" w:rsidRPr="00C32050" w:rsidRDefault="00C32050" w:rsidP="00C32050">
            <w:pPr>
              <w:tabs>
                <w:tab w:val="left" w:pos="192"/>
                <w:tab w:val="left" w:pos="260"/>
              </w:tabs>
              <w:rPr>
                <w:sz w:val="18"/>
                <w:szCs w:val="18"/>
              </w:rPr>
            </w:pPr>
            <w:r w:rsidRPr="00C32050">
              <w:rPr>
                <w:sz w:val="18"/>
                <w:szCs w:val="18"/>
              </w:rPr>
              <w:t xml:space="preserve">2.9. Įrenginys turi turėti ne mažiau kaip 4 </w:t>
            </w:r>
            <w:proofErr w:type="spellStart"/>
            <w:r w:rsidRPr="00C32050">
              <w:rPr>
                <w:sz w:val="18"/>
                <w:szCs w:val="18"/>
              </w:rPr>
              <w:t>Ethernet</w:t>
            </w:r>
            <w:proofErr w:type="spellEnd"/>
            <w:r w:rsidRPr="00C32050">
              <w:rPr>
                <w:sz w:val="18"/>
                <w:szCs w:val="18"/>
              </w:rPr>
              <w:t xml:space="preserve"> prievadus;</w:t>
            </w:r>
          </w:p>
          <w:p w:rsidR="00C32050" w:rsidRPr="00C32050" w:rsidRDefault="00C32050" w:rsidP="00C32050">
            <w:pPr>
              <w:tabs>
                <w:tab w:val="left" w:pos="192"/>
                <w:tab w:val="left" w:pos="260"/>
              </w:tabs>
              <w:rPr>
                <w:sz w:val="18"/>
                <w:szCs w:val="18"/>
              </w:rPr>
            </w:pPr>
            <w:r w:rsidRPr="00C32050">
              <w:rPr>
                <w:sz w:val="18"/>
                <w:szCs w:val="18"/>
              </w:rPr>
              <w:t>2.10. Prievadai turi palaikyti WAN ir LAN režimus;</w:t>
            </w:r>
          </w:p>
          <w:p w:rsidR="00C32050" w:rsidRPr="00C32050" w:rsidRDefault="00C32050" w:rsidP="00C32050">
            <w:pPr>
              <w:tabs>
                <w:tab w:val="left" w:pos="192"/>
                <w:tab w:val="left" w:pos="260"/>
              </w:tabs>
              <w:rPr>
                <w:sz w:val="18"/>
                <w:szCs w:val="18"/>
              </w:rPr>
            </w:pPr>
            <w:r w:rsidRPr="00C32050">
              <w:rPr>
                <w:sz w:val="18"/>
                <w:szCs w:val="18"/>
              </w:rPr>
              <w:t>2.11. Įrenginys turi turėti ne mažiau kaip 1 NIM modulio lizdą;</w:t>
            </w:r>
          </w:p>
          <w:p w:rsidR="00C32050" w:rsidRPr="00C32050" w:rsidRDefault="00C32050" w:rsidP="00C32050">
            <w:pPr>
              <w:tabs>
                <w:tab w:val="left" w:pos="192"/>
                <w:tab w:val="left" w:pos="260"/>
              </w:tabs>
              <w:rPr>
                <w:sz w:val="18"/>
                <w:szCs w:val="18"/>
              </w:rPr>
            </w:pPr>
            <w:r w:rsidRPr="00C32050">
              <w:rPr>
                <w:sz w:val="18"/>
                <w:szCs w:val="18"/>
              </w:rPr>
              <w:t xml:space="preserve">2.12. Neužimti modulio lizdai turi būti uždengti gamintojo </w:t>
            </w:r>
            <w:proofErr w:type="spellStart"/>
            <w:r w:rsidRPr="00C32050">
              <w:rPr>
                <w:sz w:val="18"/>
                <w:szCs w:val="18"/>
              </w:rPr>
              <w:t>aklėmis</w:t>
            </w:r>
            <w:proofErr w:type="spellEnd"/>
            <w:r w:rsidRPr="00C32050">
              <w:rPr>
                <w:sz w:val="18"/>
                <w:szCs w:val="18"/>
              </w:rPr>
              <w:t xml:space="preserve"> (blank);</w:t>
            </w:r>
          </w:p>
          <w:p w:rsidR="00C32050" w:rsidRPr="00C32050" w:rsidRDefault="00C32050" w:rsidP="00C32050">
            <w:pPr>
              <w:tabs>
                <w:tab w:val="left" w:pos="192"/>
                <w:tab w:val="left" w:pos="260"/>
              </w:tabs>
              <w:rPr>
                <w:sz w:val="18"/>
                <w:szCs w:val="18"/>
              </w:rPr>
            </w:pPr>
            <w:r w:rsidRPr="00C32050">
              <w:rPr>
                <w:sz w:val="18"/>
                <w:szCs w:val="18"/>
              </w:rPr>
              <w:t xml:space="preserve">2.13. Maršrutizatorius turi veikti su </w:t>
            </w:r>
            <w:proofErr w:type="spellStart"/>
            <w:r w:rsidRPr="00C32050">
              <w:rPr>
                <w:sz w:val="18"/>
                <w:szCs w:val="18"/>
              </w:rPr>
              <w:t>Cisco</w:t>
            </w:r>
            <w:proofErr w:type="spellEnd"/>
            <w:r w:rsidRPr="00C32050">
              <w:rPr>
                <w:sz w:val="18"/>
                <w:szCs w:val="18"/>
              </w:rPr>
              <w:t xml:space="preserve"> IOS XE arba lygiaverte operacine sistema;</w:t>
            </w:r>
          </w:p>
          <w:p w:rsidR="00C32050" w:rsidRPr="00C32050" w:rsidRDefault="00C32050" w:rsidP="00C32050">
            <w:pPr>
              <w:tabs>
                <w:tab w:val="left" w:pos="192"/>
                <w:tab w:val="left" w:pos="260"/>
              </w:tabs>
              <w:rPr>
                <w:sz w:val="18"/>
                <w:szCs w:val="18"/>
              </w:rPr>
            </w:pPr>
            <w:r w:rsidRPr="00C32050">
              <w:rPr>
                <w:sz w:val="18"/>
                <w:szCs w:val="18"/>
              </w:rPr>
              <w:t xml:space="preserve">2.14. Operacinė sistema turi būti </w:t>
            </w:r>
            <w:proofErr w:type="spellStart"/>
            <w:r w:rsidRPr="00C32050">
              <w:rPr>
                <w:sz w:val="18"/>
                <w:szCs w:val="18"/>
              </w:rPr>
              <w:t>Unified</w:t>
            </w:r>
            <w:proofErr w:type="spellEnd"/>
            <w:r w:rsidRPr="00C32050">
              <w:rPr>
                <w:sz w:val="18"/>
                <w:szCs w:val="18"/>
              </w:rPr>
              <w:t xml:space="preserve"> </w:t>
            </w:r>
            <w:proofErr w:type="spellStart"/>
            <w:r w:rsidRPr="00C32050">
              <w:rPr>
                <w:sz w:val="18"/>
                <w:szCs w:val="18"/>
              </w:rPr>
              <w:t>Image</w:t>
            </w:r>
            <w:proofErr w:type="spellEnd"/>
            <w:r w:rsidRPr="00C32050">
              <w:rPr>
                <w:sz w:val="18"/>
                <w:szCs w:val="18"/>
              </w:rPr>
              <w:t xml:space="preserve"> tipo;</w:t>
            </w:r>
          </w:p>
          <w:p w:rsidR="00C32050" w:rsidRPr="00C32050" w:rsidRDefault="00C32050" w:rsidP="00C32050">
            <w:pPr>
              <w:tabs>
                <w:tab w:val="left" w:pos="192"/>
                <w:tab w:val="left" w:pos="260"/>
              </w:tabs>
              <w:rPr>
                <w:sz w:val="18"/>
                <w:szCs w:val="18"/>
              </w:rPr>
            </w:pPr>
            <w:r w:rsidRPr="00C32050">
              <w:rPr>
                <w:sz w:val="18"/>
                <w:szCs w:val="18"/>
              </w:rPr>
              <w:t xml:space="preserve">2.15. Turi būti palaikomas </w:t>
            </w:r>
            <w:proofErr w:type="spellStart"/>
            <w:r w:rsidRPr="00C32050">
              <w:rPr>
                <w:sz w:val="18"/>
                <w:szCs w:val="18"/>
              </w:rPr>
              <w:t>Autonomous</w:t>
            </w:r>
            <w:proofErr w:type="spellEnd"/>
            <w:r w:rsidRPr="00C32050">
              <w:rPr>
                <w:sz w:val="18"/>
                <w:szCs w:val="18"/>
              </w:rPr>
              <w:t xml:space="preserve"> (autonominis) veikimo režimas;</w:t>
            </w:r>
          </w:p>
          <w:p w:rsidR="00C32050" w:rsidRPr="00C32050" w:rsidRDefault="00C32050" w:rsidP="00C32050">
            <w:pPr>
              <w:tabs>
                <w:tab w:val="left" w:pos="192"/>
                <w:tab w:val="left" w:pos="260"/>
              </w:tabs>
              <w:rPr>
                <w:sz w:val="18"/>
                <w:szCs w:val="18"/>
              </w:rPr>
            </w:pPr>
            <w:r w:rsidRPr="00C32050">
              <w:rPr>
                <w:sz w:val="18"/>
                <w:szCs w:val="18"/>
              </w:rPr>
              <w:t xml:space="preserve">2.16. Turi būti įtraukta Universal </w:t>
            </w:r>
            <w:proofErr w:type="spellStart"/>
            <w:r w:rsidRPr="00C32050">
              <w:rPr>
                <w:sz w:val="18"/>
                <w:szCs w:val="18"/>
              </w:rPr>
              <w:t>Image</w:t>
            </w:r>
            <w:proofErr w:type="spellEnd"/>
            <w:r w:rsidRPr="00C32050">
              <w:rPr>
                <w:sz w:val="18"/>
                <w:szCs w:val="18"/>
              </w:rPr>
              <w:t xml:space="preserve"> licencija, leidžianti naudoti SD-WAN, SD-</w:t>
            </w:r>
            <w:proofErr w:type="spellStart"/>
            <w:r w:rsidRPr="00C32050">
              <w:rPr>
                <w:sz w:val="18"/>
                <w:szCs w:val="18"/>
              </w:rPr>
              <w:t>Routing</w:t>
            </w:r>
            <w:proofErr w:type="spellEnd"/>
            <w:r w:rsidRPr="00C32050">
              <w:rPr>
                <w:sz w:val="18"/>
                <w:szCs w:val="18"/>
              </w:rPr>
              <w:t xml:space="preserve"> ir tradicinį </w:t>
            </w:r>
            <w:proofErr w:type="spellStart"/>
            <w:r w:rsidRPr="00C32050">
              <w:rPr>
                <w:sz w:val="18"/>
                <w:szCs w:val="18"/>
              </w:rPr>
              <w:t>maršrutizavimą</w:t>
            </w:r>
            <w:proofErr w:type="spellEnd"/>
            <w:r w:rsidRPr="00C32050">
              <w:rPr>
                <w:sz w:val="18"/>
                <w:szCs w:val="18"/>
              </w:rPr>
              <w:t>;</w:t>
            </w:r>
          </w:p>
          <w:p w:rsidR="00C32050" w:rsidRPr="00C32050" w:rsidRDefault="00C32050" w:rsidP="00C32050">
            <w:pPr>
              <w:tabs>
                <w:tab w:val="left" w:pos="192"/>
                <w:tab w:val="left" w:pos="260"/>
              </w:tabs>
              <w:rPr>
                <w:sz w:val="18"/>
                <w:szCs w:val="18"/>
              </w:rPr>
            </w:pPr>
            <w:r w:rsidRPr="00C32050">
              <w:rPr>
                <w:sz w:val="18"/>
                <w:szCs w:val="18"/>
              </w:rPr>
              <w:t>2.17. Turi būti įtraukta eksporto atitikties (HSEC) licencija;</w:t>
            </w:r>
          </w:p>
          <w:p w:rsidR="00C32050" w:rsidRPr="00C32050" w:rsidRDefault="00C32050" w:rsidP="00C32050">
            <w:pPr>
              <w:tabs>
                <w:tab w:val="left" w:pos="192"/>
                <w:tab w:val="left" w:pos="260"/>
              </w:tabs>
              <w:rPr>
                <w:sz w:val="18"/>
                <w:szCs w:val="18"/>
              </w:rPr>
            </w:pPr>
            <w:r w:rsidRPr="00C32050">
              <w:rPr>
                <w:sz w:val="18"/>
                <w:szCs w:val="18"/>
              </w:rPr>
              <w:t xml:space="preserve">2.18. Privaloma pateikti licenciją suteikiančią šifruoto </w:t>
            </w:r>
            <w:proofErr w:type="spellStart"/>
            <w:r w:rsidRPr="00C32050">
              <w:rPr>
                <w:sz w:val="18"/>
                <w:szCs w:val="18"/>
              </w:rPr>
              <w:t>IPsec</w:t>
            </w:r>
            <w:proofErr w:type="spellEnd"/>
            <w:r w:rsidRPr="00C32050">
              <w:rPr>
                <w:sz w:val="18"/>
                <w:szCs w:val="18"/>
              </w:rPr>
              <w:t xml:space="preserve"> VPN srauto pralaidumą – 250 </w:t>
            </w:r>
            <w:proofErr w:type="spellStart"/>
            <w:r w:rsidRPr="00C32050">
              <w:rPr>
                <w:sz w:val="18"/>
                <w:szCs w:val="18"/>
              </w:rPr>
              <w:t>MBps</w:t>
            </w:r>
            <w:proofErr w:type="spellEnd"/>
            <w:r w:rsidRPr="00C32050">
              <w:rPr>
                <w:sz w:val="18"/>
                <w:szCs w:val="18"/>
              </w:rPr>
              <w:t xml:space="preserve"> (agreguotas 500 </w:t>
            </w:r>
            <w:proofErr w:type="spellStart"/>
            <w:r w:rsidRPr="00C32050">
              <w:rPr>
                <w:sz w:val="18"/>
                <w:szCs w:val="18"/>
              </w:rPr>
              <w:t>Mbps</w:t>
            </w:r>
            <w:proofErr w:type="spellEnd"/>
            <w:r w:rsidRPr="00C32050">
              <w:rPr>
                <w:sz w:val="18"/>
                <w:szCs w:val="18"/>
              </w:rPr>
              <w:t>);</w:t>
            </w:r>
          </w:p>
          <w:p w:rsidR="00C32050" w:rsidRPr="00C32050" w:rsidRDefault="00C32050" w:rsidP="00C32050">
            <w:pPr>
              <w:tabs>
                <w:tab w:val="left" w:pos="192"/>
                <w:tab w:val="left" w:pos="260"/>
              </w:tabs>
              <w:rPr>
                <w:sz w:val="18"/>
                <w:szCs w:val="18"/>
              </w:rPr>
            </w:pPr>
            <w:r w:rsidRPr="00C32050">
              <w:rPr>
                <w:sz w:val="18"/>
                <w:szCs w:val="18"/>
              </w:rPr>
              <w:t xml:space="preserve">2.19. Bendras pralaidumas 3.8 </w:t>
            </w:r>
            <w:proofErr w:type="spellStart"/>
            <w:r w:rsidRPr="00C32050">
              <w:rPr>
                <w:sz w:val="18"/>
                <w:szCs w:val="18"/>
              </w:rPr>
              <w:t>Gbps</w:t>
            </w:r>
            <w:proofErr w:type="spellEnd"/>
            <w:r w:rsidRPr="00C32050">
              <w:rPr>
                <w:sz w:val="18"/>
                <w:szCs w:val="18"/>
              </w:rPr>
              <w:t>;</w:t>
            </w:r>
          </w:p>
          <w:p w:rsidR="00C32050" w:rsidRPr="00C32050" w:rsidRDefault="00C32050" w:rsidP="00C32050">
            <w:pPr>
              <w:tabs>
                <w:tab w:val="left" w:pos="192"/>
                <w:tab w:val="left" w:pos="260"/>
              </w:tabs>
              <w:rPr>
                <w:sz w:val="18"/>
                <w:szCs w:val="18"/>
              </w:rPr>
            </w:pPr>
            <w:r w:rsidRPr="00C32050">
              <w:rPr>
                <w:sz w:val="18"/>
                <w:szCs w:val="18"/>
              </w:rPr>
              <w:t xml:space="preserve">2.20. Turi būti palaikomas </w:t>
            </w:r>
            <w:proofErr w:type="spellStart"/>
            <w:r w:rsidRPr="00C32050">
              <w:rPr>
                <w:sz w:val="18"/>
                <w:szCs w:val="18"/>
              </w:rPr>
              <w:t>Cisco</w:t>
            </w:r>
            <w:proofErr w:type="spellEnd"/>
            <w:r w:rsidRPr="00C32050">
              <w:rPr>
                <w:sz w:val="18"/>
                <w:szCs w:val="18"/>
              </w:rPr>
              <w:t xml:space="preserve"> SD-WAN arba lygiavertis sprendimas.</w:t>
            </w:r>
          </w:p>
          <w:p w:rsidR="00C32050" w:rsidRPr="00C32050" w:rsidRDefault="00C32050" w:rsidP="00C32050">
            <w:pPr>
              <w:tabs>
                <w:tab w:val="left" w:pos="192"/>
                <w:tab w:val="left" w:pos="260"/>
              </w:tabs>
              <w:rPr>
                <w:sz w:val="18"/>
                <w:szCs w:val="18"/>
              </w:rPr>
            </w:pPr>
            <w:r w:rsidRPr="00C32050">
              <w:rPr>
                <w:sz w:val="18"/>
                <w:szCs w:val="18"/>
              </w:rPr>
              <w:t xml:space="preserve">2.21. Turi būti palaikomas </w:t>
            </w:r>
            <w:proofErr w:type="spellStart"/>
            <w:r w:rsidRPr="00C32050">
              <w:rPr>
                <w:sz w:val="18"/>
                <w:szCs w:val="18"/>
              </w:rPr>
              <w:t>Zero-Touch</w:t>
            </w:r>
            <w:proofErr w:type="spellEnd"/>
            <w:r w:rsidRPr="00C32050">
              <w:rPr>
                <w:sz w:val="18"/>
                <w:szCs w:val="18"/>
              </w:rPr>
              <w:t xml:space="preserve"> </w:t>
            </w:r>
            <w:proofErr w:type="spellStart"/>
            <w:r w:rsidRPr="00C32050">
              <w:rPr>
                <w:sz w:val="18"/>
                <w:szCs w:val="18"/>
              </w:rPr>
              <w:t>Provisioning</w:t>
            </w:r>
            <w:proofErr w:type="spellEnd"/>
            <w:r w:rsidRPr="00C32050">
              <w:rPr>
                <w:sz w:val="18"/>
                <w:szCs w:val="18"/>
              </w:rPr>
              <w:t xml:space="preserve"> (</w:t>
            </w:r>
            <w:proofErr w:type="spellStart"/>
            <w:r w:rsidRPr="00C32050">
              <w:rPr>
                <w:sz w:val="18"/>
                <w:szCs w:val="18"/>
              </w:rPr>
              <w:t>Plug-and-Play</w:t>
            </w:r>
            <w:proofErr w:type="spellEnd"/>
            <w:r w:rsidRPr="00C32050">
              <w:rPr>
                <w:sz w:val="18"/>
                <w:szCs w:val="18"/>
              </w:rPr>
              <w:t>);</w:t>
            </w:r>
          </w:p>
          <w:p w:rsidR="00C32050" w:rsidRPr="00C32050" w:rsidRDefault="00C32050" w:rsidP="00C32050">
            <w:pPr>
              <w:tabs>
                <w:tab w:val="left" w:pos="192"/>
                <w:tab w:val="left" w:pos="260"/>
              </w:tabs>
              <w:rPr>
                <w:sz w:val="18"/>
                <w:szCs w:val="18"/>
              </w:rPr>
            </w:pPr>
            <w:r w:rsidRPr="00C32050">
              <w:rPr>
                <w:sz w:val="18"/>
                <w:szCs w:val="18"/>
              </w:rPr>
              <w:t xml:space="preserve">2.22. Turi būti įtraukta </w:t>
            </w:r>
            <w:proofErr w:type="spellStart"/>
            <w:r w:rsidRPr="00C32050">
              <w:rPr>
                <w:sz w:val="18"/>
                <w:szCs w:val="18"/>
              </w:rPr>
              <w:t>Cisco</w:t>
            </w:r>
            <w:proofErr w:type="spellEnd"/>
            <w:r w:rsidRPr="00C32050">
              <w:rPr>
                <w:sz w:val="18"/>
                <w:szCs w:val="18"/>
              </w:rPr>
              <w:t xml:space="preserve"> DNA Essentials arba lygiavertė licencija.</w:t>
            </w:r>
          </w:p>
          <w:p w:rsidR="00C32050" w:rsidRPr="00C32050" w:rsidRDefault="00C32050" w:rsidP="00C32050">
            <w:pPr>
              <w:tabs>
                <w:tab w:val="left" w:pos="192"/>
                <w:tab w:val="left" w:pos="260"/>
              </w:tabs>
              <w:rPr>
                <w:sz w:val="18"/>
                <w:szCs w:val="18"/>
              </w:rPr>
            </w:pPr>
            <w:r w:rsidRPr="00C32050">
              <w:rPr>
                <w:sz w:val="18"/>
                <w:szCs w:val="18"/>
              </w:rPr>
              <w:t xml:space="preserve">2.23. Turi būti palaikomas </w:t>
            </w:r>
            <w:proofErr w:type="spellStart"/>
            <w:r w:rsidRPr="00C32050">
              <w:rPr>
                <w:sz w:val="18"/>
                <w:szCs w:val="18"/>
              </w:rPr>
              <w:t>IPsec</w:t>
            </w:r>
            <w:proofErr w:type="spellEnd"/>
            <w:r w:rsidRPr="00C32050">
              <w:rPr>
                <w:sz w:val="18"/>
                <w:szCs w:val="18"/>
              </w:rPr>
              <w:t xml:space="preserve"> VPN;</w:t>
            </w:r>
          </w:p>
          <w:p w:rsidR="00C32050" w:rsidRPr="00C32050" w:rsidRDefault="00C32050" w:rsidP="00C32050">
            <w:pPr>
              <w:tabs>
                <w:tab w:val="left" w:pos="192"/>
                <w:tab w:val="left" w:pos="260"/>
              </w:tabs>
              <w:rPr>
                <w:sz w:val="18"/>
                <w:szCs w:val="18"/>
              </w:rPr>
            </w:pPr>
            <w:r w:rsidRPr="00C32050">
              <w:rPr>
                <w:sz w:val="18"/>
                <w:szCs w:val="18"/>
              </w:rPr>
              <w:t>2.24. Turi būti palaikoma DNS lygmens apsauga;</w:t>
            </w:r>
          </w:p>
          <w:p w:rsidR="00C32050" w:rsidRPr="00C32050" w:rsidRDefault="00C32050" w:rsidP="00C32050">
            <w:pPr>
              <w:tabs>
                <w:tab w:val="left" w:pos="192"/>
                <w:tab w:val="left" w:pos="260"/>
              </w:tabs>
              <w:rPr>
                <w:sz w:val="18"/>
                <w:szCs w:val="18"/>
              </w:rPr>
            </w:pPr>
            <w:r w:rsidRPr="00C32050">
              <w:rPr>
                <w:sz w:val="18"/>
                <w:szCs w:val="18"/>
              </w:rPr>
              <w:t>2.25. Techninis palaikymas turi būti ne žemesnis nei 8×5 NBD;</w:t>
            </w:r>
          </w:p>
          <w:p w:rsidR="00E0666C" w:rsidRPr="00C32050" w:rsidRDefault="00C32050" w:rsidP="00C32050">
            <w:pPr>
              <w:tabs>
                <w:tab w:val="left" w:pos="192"/>
                <w:tab w:val="left" w:pos="260"/>
              </w:tabs>
              <w:rPr>
                <w:sz w:val="18"/>
                <w:szCs w:val="18"/>
              </w:rPr>
            </w:pPr>
            <w:r w:rsidRPr="00C32050">
              <w:rPr>
                <w:sz w:val="18"/>
                <w:szCs w:val="18"/>
              </w:rPr>
              <w:t>2.26. Turi būti įtraukta RFID identifikacija arba lygiavertė.</w:t>
            </w:r>
          </w:p>
        </w:tc>
      </w:tr>
    </w:tbl>
    <w:p w:rsidR="00880924" w:rsidRDefault="00880924">
      <w:pPr>
        <w:spacing w:after="200" w:line="276" w:lineRule="auto"/>
      </w:pPr>
    </w:p>
    <w:sectPr w:rsidR="00880924" w:rsidSect="00C970C8">
      <w:pgSz w:w="11906" w:h="16838" w:code="9"/>
      <w:pgMar w:top="567" w:right="709"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130D92"/>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6"/>
  </w:num>
  <w:num w:numId="3">
    <w:abstractNumId w:val="22"/>
  </w:num>
  <w:num w:numId="4">
    <w:abstractNumId w:val="2"/>
  </w:num>
  <w:num w:numId="5">
    <w:abstractNumId w:val="28"/>
  </w:num>
  <w:num w:numId="6">
    <w:abstractNumId w:val="25"/>
  </w:num>
  <w:num w:numId="7">
    <w:abstractNumId w:val="13"/>
  </w:num>
  <w:num w:numId="8">
    <w:abstractNumId w:val="23"/>
  </w:num>
  <w:num w:numId="9">
    <w:abstractNumId w:val="11"/>
  </w:num>
  <w:num w:numId="10">
    <w:abstractNumId w:val="16"/>
  </w:num>
  <w:num w:numId="11">
    <w:abstractNumId w:val="15"/>
  </w:num>
  <w:num w:numId="12">
    <w:abstractNumId w:val="18"/>
  </w:num>
  <w:num w:numId="13">
    <w:abstractNumId w:val="12"/>
  </w:num>
  <w:num w:numId="14">
    <w:abstractNumId w:val="30"/>
  </w:num>
  <w:num w:numId="15">
    <w:abstractNumId w:val="14"/>
  </w:num>
  <w:num w:numId="16">
    <w:abstractNumId w:val="10"/>
  </w:num>
  <w:num w:numId="17">
    <w:abstractNumId w:val="19"/>
  </w:num>
  <w:num w:numId="18">
    <w:abstractNumId w:val="7"/>
  </w:num>
  <w:num w:numId="19">
    <w:abstractNumId w:val="17"/>
  </w:num>
  <w:num w:numId="20">
    <w:abstractNumId w:val="20"/>
  </w:num>
  <w:num w:numId="21">
    <w:abstractNumId w:val="27"/>
  </w:num>
  <w:num w:numId="22">
    <w:abstractNumId w:val="3"/>
  </w:num>
  <w:num w:numId="23">
    <w:abstractNumId w:val="32"/>
  </w:num>
  <w:num w:numId="24">
    <w:abstractNumId w:val="1"/>
  </w:num>
  <w:num w:numId="25">
    <w:abstractNumId w:val="21"/>
  </w:num>
  <w:num w:numId="26">
    <w:abstractNumId w:val="0"/>
  </w:num>
  <w:num w:numId="27">
    <w:abstractNumId w:val="5"/>
  </w:num>
  <w:num w:numId="28">
    <w:abstractNumId w:val="8"/>
  </w:num>
  <w:num w:numId="29">
    <w:abstractNumId w:val="24"/>
  </w:num>
  <w:num w:numId="30">
    <w:abstractNumId w:val="9"/>
  </w:num>
  <w:num w:numId="31">
    <w:abstractNumId w:val="31"/>
  </w:num>
  <w:num w:numId="32">
    <w:abstractNumId w:val="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0308A"/>
    <w:rsid w:val="00015411"/>
    <w:rsid w:val="00022BD4"/>
    <w:rsid w:val="00026647"/>
    <w:rsid w:val="00027B7F"/>
    <w:rsid w:val="000333CA"/>
    <w:rsid w:val="000337C3"/>
    <w:rsid w:val="00041E7F"/>
    <w:rsid w:val="00043721"/>
    <w:rsid w:val="00045E3F"/>
    <w:rsid w:val="000503E5"/>
    <w:rsid w:val="000525E6"/>
    <w:rsid w:val="00067C2E"/>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50640"/>
    <w:rsid w:val="002546D5"/>
    <w:rsid w:val="00260F9B"/>
    <w:rsid w:val="00267CDB"/>
    <w:rsid w:val="00271D3E"/>
    <w:rsid w:val="00273FD4"/>
    <w:rsid w:val="00293CF3"/>
    <w:rsid w:val="002C6198"/>
    <w:rsid w:val="002D3A01"/>
    <w:rsid w:val="002F1040"/>
    <w:rsid w:val="002F31F9"/>
    <w:rsid w:val="002F3535"/>
    <w:rsid w:val="00307837"/>
    <w:rsid w:val="00313D5C"/>
    <w:rsid w:val="00317C99"/>
    <w:rsid w:val="0032003D"/>
    <w:rsid w:val="00320E72"/>
    <w:rsid w:val="003364C3"/>
    <w:rsid w:val="00346DFF"/>
    <w:rsid w:val="00351623"/>
    <w:rsid w:val="00355489"/>
    <w:rsid w:val="00362C7E"/>
    <w:rsid w:val="003632E7"/>
    <w:rsid w:val="00366AB7"/>
    <w:rsid w:val="00377965"/>
    <w:rsid w:val="003802A1"/>
    <w:rsid w:val="00385611"/>
    <w:rsid w:val="00391D3D"/>
    <w:rsid w:val="00392595"/>
    <w:rsid w:val="00397AD4"/>
    <w:rsid w:val="003A777D"/>
    <w:rsid w:val="003D597E"/>
    <w:rsid w:val="003E27DF"/>
    <w:rsid w:val="003F27A9"/>
    <w:rsid w:val="00410470"/>
    <w:rsid w:val="00411287"/>
    <w:rsid w:val="00420B73"/>
    <w:rsid w:val="004678B0"/>
    <w:rsid w:val="00482BE7"/>
    <w:rsid w:val="0048622F"/>
    <w:rsid w:val="0049566C"/>
    <w:rsid w:val="004967F9"/>
    <w:rsid w:val="004A6E65"/>
    <w:rsid w:val="004E4C6D"/>
    <w:rsid w:val="004E63F2"/>
    <w:rsid w:val="004F1625"/>
    <w:rsid w:val="00500A1D"/>
    <w:rsid w:val="00510C30"/>
    <w:rsid w:val="00521A3E"/>
    <w:rsid w:val="00532544"/>
    <w:rsid w:val="0053743F"/>
    <w:rsid w:val="00540BA7"/>
    <w:rsid w:val="00550781"/>
    <w:rsid w:val="00550880"/>
    <w:rsid w:val="00551D3A"/>
    <w:rsid w:val="0056392E"/>
    <w:rsid w:val="005845EC"/>
    <w:rsid w:val="00584CF9"/>
    <w:rsid w:val="00586C04"/>
    <w:rsid w:val="00595E2E"/>
    <w:rsid w:val="005A6572"/>
    <w:rsid w:val="005B2311"/>
    <w:rsid w:val="005B2CB6"/>
    <w:rsid w:val="005C797D"/>
    <w:rsid w:val="005D2E8B"/>
    <w:rsid w:val="005E0CEF"/>
    <w:rsid w:val="005E289B"/>
    <w:rsid w:val="005F41B4"/>
    <w:rsid w:val="005F4508"/>
    <w:rsid w:val="005F605C"/>
    <w:rsid w:val="00601862"/>
    <w:rsid w:val="00626C07"/>
    <w:rsid w:val="006357A4"/>
    <w:rsid w:val="0063733A"/>
    <w:rsid w:val="00640B29"/>
    <w:rsid w:val="00651542"/>
    <w:rsid w:val="0066367F"/>
    <w:rsid w:val="00665007"/>
    <w:rsid w:val="0067042F"/>
    <w:rsid w:val="006761ED"/>
    <w:rsid w:val="00676F88"/>
    <w:rsid w:val="00680A79"/>
    <w:rsid w:val="0068257A"/>
    <w:rsid w:val="00686269"/>
    <w:rsid w:val="00692362"/>
    <w:rsid w:val="0069518E"/>
    <w:rsid w:val="006A6954"/>
    <w:rsid w:val="006A6E02"/>
    <w:rsid w:val="006B11A2"/>
    <w:rsid w:val="006B4CB8"/>
    <w:rsid w:val="006B4E9A"/>
    <w:rsid w:val="006C7EDF"/>
    <w:rsid w:val="006E3636"/>
    <w:rsid w:val="006E6A4B"/>
    <w:rsid w:val="006E73C8"/>
    <w:rsid w:val="006F0EB7"/>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4F9B"/>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7B42"/>
    <w:rsid w:val="0090340A"/>
    <w:rsid w:val="00922C08"/>
    <w:rsid w:val="00923962"/>
    <w:rsid w:val="00930863"/>
    <w:rsid w:val="009317B3"/>
    <w:rsid w:val="00932B2B"/>
    <w:rsid w:val="00935451"/>
    <w:rsid w:val="0094172C"/>
    <w:rsid w:val="009479DE"/>
    <w:rsid w:val="0095465F"/>
    <w:rsid w:val="00967972"/>
    <w:rsid w:val="00974AA8"/>
    <w:rsid w:val="00985A17"/>
    <w:rsid w:val="00987B21"/>
    <w:rsid w:val="00987CA9"/>
    <w:rsid w:val="009A2920"/>
    <w:rsid w:val="009A35EF"/>
    <w:rsid w:val="009A703C"/>
    <w:rsid w:val="009B25AF"/>
    <w:rsid w:val="009E45E5"/>
    <w:rsid w:val="009F0976"/>
    <w:rsid w:val="00A07B25"/>
    <w:rsid w:val="00A11BE5"/>
    <w:rsid w:val="00A13E42"/>
    <w:rsid w:val="00A204C4"/>
    <w:rsid w:val="00A2301D"/>
    <w:rsid w:val="00A34FC6"/>
    <w:rsid w:val="00A37690"/>
    <w:rsid w:val="00A420A4"/>
    <w:rsid w:val="00A46BFE"/>
    <w:rsid w:val="00A5083C"/>
    <w:rsid w:val="00A62899"/>
    <w:rsid w:val="00A66A5E"/>
    <w:rsid w:val="00A7025A"/>
    <w:rsid w:val="00A704DE"/>
    <w:rsid w:val="00A71E4A"/>
    <w:rsid w:val="00A73737"/>
    <w:rsid w:val="00A77BEC"/>
    <w:rsid w:val="00A77F0D"/>
    <w:rsid w:val="00A974C9"/>
    <w:rsid w:val="00AB1BB2"/>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307F"/>
    <w:rsid w:val="00BC375B"/>
    <w:rsid w:val="00BF5325"/>
    <w:rsid w:val="00BF57D5"/>
    <w:rsid w:val="00C05799"/>
    <w:rsid w:val="00C07920"/>
    <w:rsid w:val="00C1251D"/>
    <w:rsid w:val="00C316D2"/>
    <w:rsid w:val="00C32050"/>
    <w:rsid w:val="00C57506"/>
    <w:rsid w:val="00C638A9"/>
    <w:rsid w:val="00C764C8"/>
    <w:rsid w:val="00C776D9"/>
    <w:rsid w:val="00C83B41"/>
    <w:rsid w:val="00C87497"/>
    <w:rsid w:val="00C96046"/>
    <w:rsid w:val="00C970C8"/>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5741"/>
    <w:rsid w:val="00DE3B32"/>
    <w:rsid w:val="00DF6921"/>
    <w:rsid w:val="00DF6D46"/>
    <w:rsid w:val="00DF7CF7"/>
    <w:rsid w:val="00E0666C"/>
    <w:rsid w:val="00E12B9E"/>
    <w:rsid w:val="00E12E2D"/>
    <w:rsid w:val="00E31EAE"/>
    <w:rsid w:val="00E42E8F"/>
    <w:rsid w:val="00E44E39"/>
    <w:rsid w:val="00E46084"/>
    <w:rsid w:val="00E5716D"/>
    <w:rsid w:val="00E62B2A"/>
    <w:rsid w:val="00E62DBB"/>
    <w:rsid w:val="00E65D27"/>
    <w:rsid w:val="00E66039"/>
    <w:rsid w:val="00E664CA"/>
    <w:rsid w:val="00E722B6"/>
    <w:rsid w:val="00E80001"/>
    <w:rsid w:val="00E8014F"/>
    <w:rsid w:val="00E93090"/>
    <w:rsid w:val="00EA0E7E"/>
    <w:rsid w:val="00EA3A45"/>
    <w:rsid w:val="00EB2F21"/>
    <w:rsid w:val="00EB5881"/>
    <w:rsid w:val="00EB5AED"/>
    <w:rsid w:val="00ED4A4A"/>
    <w:rsid w:val="00EE2625"/>
    <w:rsid w:val="00EE35F5"/>
    <w:rsid w:val="00EE4FD9"/>
    <w:rsid w:val="00EF0FB0"/>
    <w:rsid w:val="00F030C8"/>
    <w:rsid w:val="00F05122"/>
    <w:rsid w:val="00F114C7"/>
    <w:rsid w:val="00F205DD"/>
    <w:rsid w:val="00F22803"/>
    <w:rsid w:val="00F236D4"/>
    <w:rsid w:val="00F42C84"/>
    <w:rsid w:val="00F57195"/>
    <w:rsid w:val="00F64002"/>
    <w:rsid w:val="00F64F4E"/>
    <w:rsid w:val="00F733AB"/>
    <w:rsid w:val="00F80DC2"/>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F458"/>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599B-346A-4669-8D86-9FC58B90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591</Words>
  <Characters>3371</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 Liebe</cp:lastModifiedBy>
  <cp:revision>4</cp:revision>
  <cp:lastPrinted>2022-03-07T13:14:00Z</cp:lastPrinted>
  <dcterms:created xsi:type="dcterms:W3CDTF">2026-03-30T09:18:00Z</dcterms:created>
  <dcterms:modified xsi:type="dcterms:W3CDTF">2026-03-30T13:11:00Z</dcterms:modified>
</cp:coreProperties>
</file>