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FA4D" w14:textId="77777777" w:rsidR="00BB2A34" w:rsidRDefault="00BB2A34" w:rsidP="00BB2A34">
      <w:pPr>
        <w:pStyle w:val="Heading2"/>
        <w:ind w:left="5103"/>
        <w:jc w:val="right"/>
        <w:rPr>
          <w:rFonts w:ascii="Times New Roman" w:eastAsia="Calibri" w:hAnsi="Times New Roman" w:cs="Times New Roman"/>
          <w:color w:val="0070C0"/>
          <w:sz w:val="21"/>
          <w:szCs w:val="21"/>
          <w:lang w:val="pt-BR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3086788"/>
      <w:r w:rsidRPr="00BB2A34">
        <w:rPr>
          <w:rFonts w:ascii="Times New Roman" w:eastAsia="Calibri" w:hAnsi="Times New Roman" w:cs="Times New Roman"/>
          <w:color w:val="0070C0"/>
          <w:sz w:val="21"/>
          <w:szCs w:val="21"/>
          <w:lang w:val="pt-BR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5C485256" w14:textId="0FD0E8B4" w:rsidR="00966C69" w:rsidRPr="00BF03B9" w:rsidRDefault="00966C69" w:rsidP="00966C69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</w:pPr>
      <w:r w:rsidRPr="00BF03B9">
        <w:rPr>
          <w:rFonts w:ascii="Times New Roman" w:hAnsi="Times New Roman" w:cs="Times New Roman"/>
          <w:i/>
          <w:iCs/>
          <w:color w:val="0070C0"/>
          <w:sz w:val="24"/>
          <w:szCs w:val="24"/>
        </w:rPr>
        <w:t>Annex 2 to the Purchase Conditions: “Technical Specification”</w:t>
      </w:r>
    </w:p>
    <w:p w14:paraId="46889453" w14:textId="77777777" w:rsidR="004B754B" w:rsidRPr="00966C69" w:rsidRDefault="004B754B" w:rsidP="004B754B">
      <w:pPr>
        <w:rPr>
          <w:lang w:val="en-US"/>
        </w:rPr>
      </w:pPr>
    </w:p>
    <w:p w14:paraId="673B28AB" w14:textId="34626AD2" w:rsidR="00EA7929" w:rsidRDefault="00EA792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833B2">
        <w:rPr>
          <w:rFonts w:ascii="Times New Roman" w:hAnsi="Times New Roman"/>
          <w:b/>
          <w:bCs/>
          <w:sz w:val="24"/>
          <w:szCs w:val="24"/>
          <w:lang w:val="pt-BR"/>
        </w:rPr>
        <w:t xml:space="preserve">DNR </w:t>
      </w:r>
      <w:r w:rsidR="005B1FE9" w:rsidRPr="00B833B2">
        <w:rPr>
          <w:rFonts w:ascii="Times New Roman" w:hAnsi="Times New Roman"/>
          <w:b/>
          <w:bCs/>
          <w:sz w:val="24"/>
          <w:szCs w:val="24"/>
          <w:lang w:val="pt-BR"/>
        </w:rPr>
        <w:t>GENOT</w:t>
      </w:r>
      <w:r w:rsidR="005B1FE9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="005B1FE9" w:rsidRPr="00B833B2">
        <w:rPr>
          <w:rFonts w:ascii="Times New Roman" w:hAnsi="Times New Roman"/>
          <w:b/>
          <w:bCs/>
          <w:sz w:val="24"/>
          <w:szCs w:val="24"/>
          <w:lang w:val="pt-BR"/>
        </w:rPr>
        <w:t xml:space="preserve">PAVIMO </w:t>
      </w:r>
      <w:r w:rsidR="00FD6534" w:rsidRPr="00B833B2">
        <w:rPr>
          <w:rFonts w:ascii="Times New Roman" w:hAnsi="Times New Roman"/>
          <w:b/>
          <w:bCs/>
          <w:sz w:val="24"/>
          <w:szCs w:val="24"/>
          <w:lang w:val="pt-BR"/>
        </w:rPr>
        <w:t>PASLAUGOS MIŠKO ME</w:t>
      </w:r>
      <w:r w:rsidR="00FD6534">
        <w:rPr>
          <w:rFonts w:ascii="Times New Roman" w:hAnsi="Times New Roman"/>
          <w:b/>
          <w:bCs/>
          <w:sz w:val="24"/>
          <w:szCs w:val="24"/>
          <w:lang w:val="pt-BR"/>
        </w:rPr>
        <w:t>DŽIAMS</w:t>
      </w:r>
    </w:p>
    <w:p w14:paraId="4151A968" w14:textId="15186A14" w:rsidR="00966C69" w:rsidRPr="00BF03B9" w:rsidRDefault="00BF03B9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F03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DNA GENOTYPING SERVICES FOR FOREST TREES</w:t>
      </w:r>
    </w:p>
    <w:p w14:paraId="774A6733" w14:textId="77777777" w:rsidR="00DC524B" w:rsidRPr="00BF03B9" w:rsidRDefault="00DC524B" w:rsidP="00EA7929">
      <w:pPr>
        <w:tabs>
          <w:tab w:val="left" w:pos="813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F9419FE" w14:textId="63941E35" w:rsidR="00F47CC8" w:rsidRDefault="00EA792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72521">
        <w:rPr>
          <w:rFonts w:ascii="Times New Roman" w:hAnsi="Times New Roman"/>
          <w:b/>
          <w:bCs/>
          <w:sz w:val="24"/>
          <w:szCs w:val="24"/>
          <w:lang w:val="pt-BR"/>
        </w:rPr>
        <w:t>TECHNINĖ SPECIFIKACIJA</w:t>
      </w:r>
    </w:p>
    <w:p w14:paraId="79150930" w14:textId="1C186976" w:rsidR="00BF03B9" w:rsidRPr="00BF03B9" w:rsidRDefault="00BF03B9" w:rsidP="00EA7929">
      <w:pPr>
        <w:tabs>
          <w:tab w:val="left" w:pos="567"/>
          <w:tab w:val="left" w:pos="993"/>
          <w:tab w:val="left" w:pos="1276"/>
        </w:tabs>
        <w:spacing w:after="0" w:line="288" w:lineRule="auto"/>
        <w:contextualSpacing/>
        <w:jc w:val="center"/>
        <w:rPr>
          <w:rFonts w:ascii="Times New Roman" w:eastAsia="Calibri" w:hAnsi="Times New Roman"/>
          <w:i/>
          <w:iCs/>
          <w:sz w:val="24"/>
          <w:szCs w:val="24"/>
          <w:lang w:val="pt-BR"/>
        </w:rPr>
      </w:pPr>
      <w:r w:rsidRPr="00BF03B9">
        <w:rPr>
          <w:rFonts w:ascii="Times New Roman" w:hAnsi="Times New Roman"/>
          <w:b/>
          <w:bCs/>
          <w:i/>
          <w:iCs/>
          <w:sz w:val="24"/>
          <w:szCs w:val="24"/>
        </w:rPr>
        <w:t>TECHNICAL SPECIFICATIONS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1245E" w14:paraId="6494908C" w14:textId="77777777" w:rsidTr="0046529F">
        <w:tc>
          <w:tcPr>
            <w:tcW w:w="4962" w:type="dxa"/>
          </w:tcPr>
          <w:p w14:paraId="56F38A08" w14:textId="3EA8C67E" w:rsidR="0011245E" w:rsidRPr="00033AC5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DNR </w:t>
            </w:r>
            <w:r w:rsidR="005B1FE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GENOTIPAVIMO </w:t>
            </w: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PASLAUGŲ </w:t>
            </w:r>
          </w:p>
          <w:p w14:paraId="24F07DA7" w14:textId="00EC07BA" w:rsidR="0011245E" w:rsidRPr="0011245E" w:rsidRDefault="0011245E" w:rsidP="0011245E">
            <w:pPr>
              <w:tabs>
                <w:tab w:val="left" w:pos="813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TECHNINĖ SPECIFIKACIJA</w:t>
            </w:r>
            <w:r w:rsidR="00EA792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: </w:t>
            </w:r>
            <w:r w:rsidR="00033AC5" w:rsidRPr="00033A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PAPRASTASIS UOSIS (LOT.</w:t>
            </w:r>
            <w:r w:rsidR="00641996" w:rsidRPr="00033AC5">
              <w:rPr>
                <w:lang w:val="pt-BR"/>
              </w:rPr>
              <w:t xml:space="preserve"> </w:t>
            </w:r>
            <w:r w:rsidR="00EA7929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FRAXINUS EXCELSIOR</w:t>
            </w:r>
            <w:r w:rsidR="00681BAE" w:rsidRPr="00033AC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) </w:t>
            </w:r>
            <w:r w:rsidR="00033AC5" w:rsidRPr="00033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IR </w:t>
            </w:r>
            <w:r w:rsidR="00033AC5" w:rsidRPr="00033A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PAPRASTOJI EGLĖ (LOT.</w:t>
            </w:r>
            <w:r w:rsidR="00033AC5" w:rsidRPr="00033AC5">
              <w:rPr>
                <w:lang w:val="pt-BR"/>
              </w:rPr>
              <w:t xml:space="preserve"> </w:t>
            </w:r>
            <w:r w:rsidR="005B11B4">
              <w:rPr>
                <w:rFonts w:ascii="Times New Roman" w:hAnsi="Times New Roman"/>
                <w:b/>
                <w:bCs/>
                <w:sz w:val="24"/>
                <w:szCs w:val="24"/>
              </w:rPr>
              <w:t>PICEA ABIES</w:t>
            </w:r>
            <w:r w:rsidR="00173E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91137C0" w14:textId="10A7DF27" w:rsidR="0020785A" w:rsidRPr="00F24B2C" w:rsidRDefault="00EA7929" w:rsidP="0020785A">
            <w:pPr>
              <w:tabs>
                <w:tab w:val="left" w:pos="813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A7929">
              <w:rPr>
                <w:rFonts w:ascii="Times New Roman" w:hAnsi="Times New Roman"/>
                <w:b/>
                <w:bCs/>
                <w:sz w:val="24"/>
                <w:szCs w:val="24"/>
              </w:rPr>
              <w:t>TECHNICAL SPECIFICATIONS – SNP GENOTYPING SERVICES</w:t>
            </w:r>
            <w:r w:rsidR="002078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A79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COMMON ASH 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D7117" w:rsidRPr="0020785A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FRAXINUS EXCELSIOR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NORWAY SPRUCE 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D7117" w:rsidRPr="0020785A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</w:rPr>
              <w:t>PICEA ABIES</w:t>
            </w:r>
            <w:r w:rsidR="001D711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11A14" w14:paraId="6335EB83" w14:textId="77777777" w:rsidTr="0046529F">
        <w:tc>
          <w:tcPr>
            <w:tcW w:w="4962" w:type="dxa"/>
          </w:tcPr>
          <w:p w14:paraId="7D7B65CB" w14:textId="18363AD9" w:rsidR="00911A14" w:rsidRPr="00DF7E43" w:rsidRDefault="00911A14" w:rsidP="00DF7E4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66067674"/>
            <w:r w:rsidRPr="00DF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SĄVOKOS IR SUTRUMPINIMAI</w:t>
            </w:r>
            <w:bookmarkEnd w:id="5"/>
          </w:p>
        </w:tc>
        <w:tc>
          <w:tcPr>
            <w:tcW w:w="4677" w:type="dxa"/>
          </w:tcPr>
          <w:p w14:paraId="01FD0859" w14:textId="7765C340" w:rsidR="00911A14" w:rsidRPr="005E2A7C" w:rsidRDefault="000B0081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 and Abbreviations</w:t>
            </w:r>
          </w:p>
        </w:tc>
      </w:tr>
      <w:tr w:rsidR="00911A14" w14:paraId="34AAE519" w14:textId="77777777" w:rsidTr="0046529F">
        <w:tc>
          <w:tcPr>
            <w:tcW w:w="4962" w:type="dxa"/>
          </w:tcPr>
          <w:p w14:paraId="226B6219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Pirkėjas</w:t>
            </w:r>
            <w:r w:rsidRPr="00BB2A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– Vytauto Didžiojo universitetas.</w:t>
            </w:r>
          </w:p>
          <w:p w14:paraId="6B80E4A7" w14:textId="77777777" w:rsidR="00BB2A34" w:rsidRPr="00BB2A34" w:rsidRDefault="0011245E" w:rsidP="00DC524B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Paslaugų teikėjas – </w:t>
            </w:r>
            <w:r w:rsidR="00BB2A34" w:rsidRPr="00BB2A34">
              <w:rPr>
                <w:rFonts w:ascii="Times New Roman" w:hAnsi="Times New Roman" w:cs="Times New Roman"/>
                <w:bCs/>
                <w:sz w:val="24"/>
                <w:szCs w:val="24"/>
              </w:rPr>
              <w:t>ūkio subjektas – fizinis asmuo, privatusis juridinis asmuo, viešasis juridinis asmuo, kitos organizacijos ir jų padaliniai ar tokių asmenų</w:t>
            </w:r>
            <w:r w:rsidR="00BB2A34" w:rsidRPr="00BB2A34">
              <w:rPr>
                <w:rFonts w:ascii="Times New Roman" w:hAnsi="Times New Roman" w:cs="Times New Roman"/>
                <w:sz w:val="24"/>
                <w:szCs w:val="24"/>
              </w:rPr>
              <w:t xml:space="preserve"> grupė, su kuriuo Pirkėjas sudaro Sutartį.</w:t>
            </w:r>
          </w:p>
          <w:p w14:paraId="500A3515" w14:textId="77777777" w:rsidR="0011245E" w:rsidRPr="00BB2A34" w:rsidRDefault="0011245E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Sutartis – Sutartis, sudaroma tarp Paslaugų teikėjo ir Pirkėjo</w:t>
            </w:r>
            <w:r w:rsidRPr="00BB2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BB2A3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dėl Pirkimo objekto.</w:t>
            </w:r>
          </w:p>
          <w:p w14:paraId="4F6B2D56" w14:textId="77777777" w:rsidR="00DC524B" w:rsidRPr="00772521" w:rsidRDefault="00DC524B" w:rsidP="00DC5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98F5CCB" w14:textId="6A581003" w:rsidR="00911A14" w:rsidRPr="00DF7E43" w:rsidRDefault="0011245E" w:rsidP="00B833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A34">
              <w:rPr>
                <w:rFonts w:ascii="Times New Roman" w:hAnsi="Times New Roman" w:cs="Times New Roman"/>
                <w:sz w:val="24"/>
                <w:szCs w:val="24"/>
              </w:rPr>
              <w:t>Pirkimo objektas – Paslaugos.</w:t>
            </w:r>
          </w:p>
        </w:tc>
        <w:tc>
          <w:tcPr>
            <w:tcW w:w="4677" w:type="dxa"/>
          </w:tcPr>
          <w:p w14:paraId="757279ED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Buyer – Vytautas Magnus University.</w:t>
            </w:r>
          </w:p>
          <w:p w14:paraId="43BC7F85" w14:textId="18D99358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Service Provider –</w:t>
            </w:r>
            <w:r w:rsidR="005E2A7C" w:rsidRPr="005E2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7C" w:rsidRPr="00B833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economic operator</w:t>
            </w:r>
            <w:r w:rsidR="005E2A7C" w:rsidRPr="00B833B2">
              <w:rPr>
                <w:rFonts w:ascii="Times New Roman" w:hAnsi="Times New Roman" w:cs="Times New Roman"/>
                <w:sz w:val="24"/>
                <w:szCs w:val="24"/>
              </w:rPr>
              <w:t xml:space="preserve"> – a natural person, a private legal entity, a public legal entity, other organizations and their divisions, or a group of such persons with whom the Buyer concludes the Contract.</w:t>
            </w:r>
          </w:p>
          <w:p w14:paraId="3174E610" w14:textId="77777777" w:rsidR="000B0081" w:rsidRPr="005E2A7C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Contract – the contract concluded between the Service Provider and the Buyer regarding the subject of the procurement.</w:t>
            </w:r>
          </w:p>
          <w:p w14:paraId="6BE7BF83" w14:textId="6CAAB7FF" w:rsidR="00911A14" w:rsidRPr="000B0081" w:rsidRDefault="000B0081" w:rsidP="00B8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sz w:val="24"/>
                <w:szCs w:val="24"/>
              </w:rPr>
              <w:t>Subject of the Procurement – Services.</w:t>
            </w:r>
          </w:p>
        </w:tc>
      </w:tr>
      <w:tr w:rsidR="00911A14" w14:paraId="4DED8E0E" w14:textId="77777777" w:rsidTr="0046529F">
        <w:tc>
          <w:tcPr>
            <w:tcW w:w="4962" w:type="dxa"/>
          </w:tcPr>
          <w:p w14:paraId="1C847F43" w14:textId="18C5AA06" w:rsidR="00911A14" w:rsidRPr="00BB2A34" w:rsidRDefault="00911A14" w:rsidP="00BB2A3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PIRKIMO OBJEKTAS IR OBJEKTO APIMTYS</w:t>
            </w:r>
          </w:p>
        </w:tc>
        <w:tc>
          <w:tcPr>
            <w:tcW w:w="4677" w:type="dxa"/>
          </w:tcPr>
          <w:p w14:paraId="2212FFD7" w14:textId="10F09D89" w:rsidR="00911A14" w:rsidRPr="005E2A7C" w:rsidRDefault="00C3287B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of the Procurement and Scope of the Procurement Object</w:t>
            </w:r>
          </w:p>
        </w:tc>
      </w:tr>
      <w:tr w:rsidR="00911A14" w14:paraId="14C33A74" w14:textId="77777777" w:rsidTr="0046529F">
        <w:tc>
          <w:tcPr>
            <w:tcW w:w="4962" w:type="dxa"/>
          </w:tcPr>
          <w:p w14:paraId="08EBF270" w14:textId="7F1068BA" w:rsidR="00911A14" w:rsidRPr="005E2A7C" w:rsidRDefault="00911A14" w:rsidP="005E2A7C">
            <w:pPr>
              <w:pStyle w:val="ListParagraph"/>
              <w:numPr>
                <w:ilvl w:val="1"/>
                <w:numId w:val="20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Pirkimo objektas</w:t>
            </w:r>
            <w:r w:rsidRPr="005E2A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5EC05D2C" w14:textId="520576F3" w:rsidR="00911A14" w:rsidRPr="005E2A7C" w:rsidRDefault="00C3287B" w:rsidP="005E2A7C">
            <w:pPr>
              <w:pStyle w:val="ListParagraph"/>
              <w:numPr>
                <w:ilvl w:val="1"/>
                <w:numId w:val="22"/>
              </w:numPr>
              <w:tabs>
                <w:tab w:val="left" w:pos="567"/>
                <w:tab w:val="left" w:pos="993"/>
                <w:tab w:val="left" w:pos="1276"/>
              </w:tabs>
              <w:spacing w:line="28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of the Procurement </w:t>
            </w:r>
          </w:p>
        </w:tc>
      </w:tr>
      <w:tr w:rsidR="00911A14" w14:paraId="135DA8B6" w14:textId="77777777" w:rsidTr="0046529F">
        <w:tc>
          <w:tcPr>
            <w:tcW w:w="4962" w:type="dxa"/>
          </w:tcPr>
          <w:p w14:paraId="0FC9E9B6" w14:textId="6BD39F32" w:rsidR="00911A14" w:rsidRPr="00BD4AE9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Paslaugos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DNR </w:t>
            </w:r>
            <w:r w:rsidR="00F92177"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genot</w:t>
            </w:r>
            <w:r w:rsidR="00F92177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92177"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pavimo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paslaugos.</w:t>
            </w:r>
          </w:p>
          <w:p w14:paraId="11C5EA11" w14:textId="77777777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Paslaugos teikėjas turi atlikti: </w:t>
            </w:r>
          </w:p>
          <w:p w14:paraId="717B3B16" w14:textId="77777777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DNR išskyrimą iš 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5B11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audinių, siekiant gauti DNR koncentraciją ir grynumą, atitinkančius SNP genotipavimo reikalavimus; </w:t>
            </w:r>
          </w:p>
          <w:p w14:paraId="73F18927" w14:textId="4E061923" w:rsidR="00FA1FF6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b) atskirai kiekvienai me</w:t>
            </w:r>
            <w:r w:rsidR="00CD5F18">
              <w:rPr>
                <w:rFonts w:ascii="Times New Roman" w:eastAsia="Calibri" w:hAnsi="Times New Roman" w:cs="Times New Roman"/>
                <w:sz w:val="24"/>
                <w:szCs w:val="24"/>
              </w:rPr>
              <w:t>dž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ių rūšiai (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BD4A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atrinkti </w:t>
            </w:r>
            <w:r w:rsidR="001B25E7">
              <w:rPr>
                <w:rFonts w:ascii="Times New Roman" w:eastAsia="Calibri" w:hAnsi="Times New Roman" w:cs="Times New Roman"/>
                <w:sz w:val="24"/>
                <w:szCs w:val="24"/>
              </w:rPr>
              <w:t>4000-</w:t>
            </w: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5000 SNP lokusų rinkinį taip, kad šie lokusai apytikriai vienodomis proporcijomis atspindėtų neutralią ir funkcinę DNR; </w:t>
            </w:r>
          </w:p>
          <w:p w14:paraId="20A622F9" w14:textId="6CBB9935" w:rsidR="00911A14" w:rsidRPr="00BD4AE9" w:rsidRDefault="00911A14" w:rsidP="005E2A7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c) atlikti SNP genotipavimą, naudojant tikslinį genotipavimo sekoskaita (GBS) metodą, paremtą Flex-Seq metodu.</w:t>
            </w:r>
          </w:p>
        </w:tc>
        <w:tc>
          <w:tcPr>
            <w:tcW w:w="4677" w:type="dxa"/>
          </w:tcPr>
          <w:p w14:paraId="327AAC07" w14:textId="77777777" w:rsidR="0011245E" w:rsidRPr="00BD4AE9" w:rsidRDefault="0011245E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SNP Genotyping requirements</w:t>
            </w:r>
          </w:p>
          <w:p w14:paraId="5CEB216C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The contractor shall perform </w:t>
            </w:r>
          </w:p>
          <w:p w14:paraId="71B2A046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(a) DNA extraction from tissues of </w:t>
            </w: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B11B4"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5B1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to obtain DNA concentration and purity satisfying requiremetns for SNP gentyping, </w:t>
            </w:r>
          </w:p>
          <w:p w14:paraId="4AF043BF" w14:textId="77777777" w:rsidR="00FA1FF6" w:rsidRDefault="0011245E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(b) for </w:t>
            </w: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Picea abies 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separatelly, selection of a set of </w:t>
            </w:r>
            <w:r w:rsidR="001B25E7">
              <w:rPr>
                <w:rFonts w:ascii="Times New Roman" w:hAnsi="Times New Roman" w:cs="Times New Roman"/>
                <w:sz w:val="24"/>
                <w:szCs w:val="24"/>
              </w:rPr>
              <w:t>4000-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5000 SNP loci, in such way that these loci represent neutral and functional DNA at nearly equal proprtions, </w:t>
            </w:r>
          </w:p>
          <w:p w14:paraId="20987217" w14:textId="6387EB99" w:rsidR="00911A14" w:rsidRPr="009B6EAB" w:rsidRDefault="0011245E" w:rsidP="009B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AB">
              <w:rPr>
                <w:rFonts w:ascii="Times New Roman" w:hAnsi="Times New Roman" w:cs="Times New Roman"/>
                <w:sz w:val="24"/>
                <w:szCs w:val="24"/>
              </w:rPr>
              <w:t>(c) SNP genotyping using a targeted genotyping-by-sequencing (GBS) approach, based on Flex-Seq targeted GBS method.</w:t>
            </w:r>
          </w:p>
        </w:tc>
      </w:tr>
      <w:tr w:rsidR="00911A14" w14:paraId="1EE67615" w14:textId="77777777" w:rsidTr="0046529F">
        <w:tc>
          <w:tcPr>
            <w:tcW w:w="4962" w:type="dxa"/>
          </w:tcPr>
          <w:p w14:paraId="0B1E051E" w14:textId="1C4F9001" w:rsidR="00911A14" w:rsidRPr="00DF7E43" w:rsidRDefault="006A7285" w:rsidP="005E2A7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 PIRKIMO OBJEKTUI</w:t>
            </w:r>
          </w:p>
        </w:tc>
        <w:tc>
          <w:tcPr>
            <w:tcW w:w="4677" w:type="dxa"/>
          </w:tcPr>
          <w:p w14:paraId="19B70FD1" w14:textId="1002966F" w:rsidR="00911A14" w:rsidRPr="00BD4AE9" w:rsidRDefault="005E2A7C" w:rsidP="00F47CC8">
            <w:pPr>
              <w:tabs>
                <w:tab w:val="left" w:pos="567"/>
                <w:tab w:val="left" w:pos="993"/>
                <w:tab w:val="left" w:pos="1276"/>
              </w:tabs>
              <w:spacing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6A7285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genotyping service shall meet the following minimum specifications:</w:t>
            </w:r>
          </w:p>
        </w:tc>
      </w:tr>
      <w:tr w:rsidR="00911A14" w14:paraId="29655754" w14:textId="77777777" w:rsidTr="0046529F">
        <w:tc>
          <w:tcPr>
            <w:tcW w:w="4962" w:type="dxa"/>
          </w:tcPr>
          <w:p w14:paraId="5B58D70A" w14:textId="77777777" w:rsidR="00911A14" w:rsidRPr="00BD4AE9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eastAsia="Calibri" w:hAnsi="Times New Roman" w:cs="Times New Roman"/>
                <w:sz w:val="24"/>
                <w:szCs w:val="24"/>
              </w:rPr>
              <w:t>Rūšys:</w:t>
            </w:r>
          </w:p>
          <w:p w14:paraId="6AD48E11" w14:textId="77777777" w:rsidR="00BD4AE9" w:rsidRPr="00BD4AE9" w:rsidRDefault="00BD4AE9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</w:p>
          <w:p w14:paraId="0A4CBD1A" w14:textId="68891391" w:rsidR="00BD4AE9" w:rsidRPr="00BD4AE9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</w:p>
        </w:tc>
        <w:tc>
          <w:tcPr>
            <w:tcW w:w="4677" w:type="dxa"/>
          </w:tcPr>
          <w:p w14:paraId="1356AD0B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Species</w:t>
            </w:r>
          </w:p>
          <w:p w14:paraId="7F392F06" w14:textId="77777777" w:rsidR="00BD4AE9" w:rsidRPr="00BD4AE9" w:rsidRDefault="00BD4AE9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</w:p>
          <w:p w14:paraId="3CFF4E23" w14:textId="1FC75624" w:rsidR="00911A14" w:rsidRPr="00BD4AE9" w:rsidRDefault="005B11B4" w:rsidP="005E2A7C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</w:p>
        </w:tc>
      </w:tr>
      <w:tr w:rsidR="00911A14" w14:paraId="2C283584" w14:textId="77777777" w:rsidTr="0046529F">
        <w:tc>
          <w:tcPr>
            <w:tcW w:w="4962" w:type="dxa"/>
          </w:tcPr>
          <w:p w14:paraId="098E9D88" w14:textId="77777777" w:rsidR="00911A14" w:rsidRDefault="00BD4AE9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Mėginių skaičius:</w:t>
            </w:r>
          </w:p>
          <w:p w14:paraId="648B6EB9" w14:textId="6F9DCD49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Fraxinus excelsior 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1B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vnt.</w:t>
            </w:r>
          </w:p>
          <w:p w14:paraId="67813550" w14:textId="3905974F" w:rsidR="00BD4AE9" w:rsidRPr="00BD4AE9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Picea abies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  <w:r w:rsidR="001B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vnt.</w:t>
            </w:r>
          </w:p>
          <w:p w14:paraId="2FD3F75A" w14:textId="1E8129B5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9"/>
              </w:tabs>
              <w:ind w:hanging="6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Viso 2300</w:t>
            </w:r>
          </w:p>
        </w:tc>
        <w:tc>
          <w:tcPr>
            <w:tcW w:w="4677" w:type="dxa"/>
          </w:tcPr>
          <w:p w14:paraId="12F0478A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Sample number</w:t>
            </w:r>
          </w:p>
          <w:p w14:paraId="26F53647" w14:textId="77777777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Fraxinus excelsior 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 samples</w:t>
            </w:r>
          </w:p>
          <w:p w14:paraId="28B1C93B" w14:textId="28B9A59B" w:rsidR="00911A14" w:rsidRPr="00BD4AE9" w:rsidRDefault="005B11B4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Picea abies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 samples</w:t>
            </w:r>
          </w:p>
          <w:p w14:paraId="71C4F642" w14:textId="4B0B78E2" w:rsidR="00BD4AE9" w:rsidRPr="00BD4AE9" w:rsidRDefault="00BD4AE9" w:rsidP="005E2A7C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2300 in total</w:t>
            </w:r>
          </w:p>
        </w:tc>
      </w:tr>
      <w:tr w:rsidR="00911A14" w14:paraId="09C05804" w14:textId="77777777" w:rsidTr="0046529F">
        <w:tc>
          <w:tcPr>
            <w:tcW w:w="4962" w:type="dxa"/>
          </w:tcPr>
          <w:p w14:paraId="50E0CFE6" w14:textId="6D6CB087" w:rsidR="009633CA" w:rsidRPr="006E44BE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4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SNP žymenų kiekis</w:t>
            </w:r>
          </w:p>
          <w:p w14:paraId="1D99E664" w14:textId="5FB71CAF" w:rsidR="00911A14" w:rsidRPr="00BD4AE9" w:rsidRDefault="009633CA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 kokybės filtravimo kiekvienam mėginiui genotipavimas turi suteikti </w:t>
            </w:r>
            <w:r w:rsidR="005B11B4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  <w:r w:rsidRPr="009633CA">
              <w:rPr>
                <w:rFonts w:ascii="Times New Roman" w:eastAsia="Calibri" w:hAnsi="Times New Roman" w:cs="Times New Roman"/>
                <w:sz w:val="24"/>
                <w:szCs w:val="24"/>
              </w:rPr>
              <w:t>–5000 SNP žymenų.</w:t>
            </w:r>
          </w:p>
        </w:tc>
        <w:tc>
          <w:tcPr>
            <w:tcW w:w="4677" w:type="dxa"/>
          </w:tcPr>
          <w:p w14:paraId="7D306BE0" w14:textId="562DEC3E" w:rsidR="00BD4AE9" w:rsidRPr="00BD4AE9" w:rsidRDefault="009633CA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SNP </w:t>
            </w:r>
            <w:r w:rsidR="00BD4AE9"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 density</w:t>
            </w:r>
          </w:p>
          <w:p w14:paraId="34285136" w14:textId="33629A1C" w:rsidR="00911A14" w:rsidRPr="00BD4AE9" w:rsidRDefault="00BD4AE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Genotyping shall produce </w:t>
            </w:r>
            <w:r w:rsidR="005B11B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to 5000</w:t>
            </w: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SNP markers per sample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after quality filtering.</w:t>
            </w:r>
          </w:p>
        </w:tc>
      </w:tr>
      <w:tr w:rsidR="00BD4AE9" w14:paraId="3E61801A" w14:textId="77777777" w:rsidTr="0046529F">
        <w:tc>
          <w:tcPr>
            <w:tcW w:w="4962" w:type="dxa"/>
          </w:tcPr>
          <w:p w14:paraId="78E7BB53" w14:textId="3E3E74E4" w:rsidR="00827823" w:rsidRPr="00BB2A3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Techniniai reikalavimai</w:t>
            </w:r>
          </w:p>
          <w:p w14:paraId="28E2355F" w14:textId="77777777" w:rsidR="00827823" w:rsidRPr="00BB2A34" w:rsidRDefault="00827823" w:rsidP="005E2A7C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Taikomas metodas turi užtikrinti:</w:t>
            </w:r>
          </w:p>
          <w:p w14:paraId="14A0A0B8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Patikimą veikimą rūšims, turinčioms didelį ir sudėtingą genomą.</w:t>
            </w:r>
          </w:p>
          <w:p w14:paraId="7D60FF66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Tikslinį SNP žymenų nustatymą (SNP capture) arba lygiavertę tikslinio sekoskaitos strategiją.</w:t>
            </w:r>
          </w:p>
          <w:p w14:paraId="2C1F9872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Abiem rūšims turi būti parengta ir naudojimui paruošta iš anksto apibrėžta SNP žymenų panelė.</w:t>
            </w:r>
          </w:p>
          <w:p w14:paraId="5B447412" w14:textId="77777777" w:rsidR="00827823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Didelio našumo sekoskaitą, tinkamą didelių populiacinių duomenų rinkinių analizei.</w:t>
            </w:r>
          </w:p>
          <w:p w14:paraId="5E29AA9E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Minimalų genotipo nustatymo dažnį (genotype call rate) ≥ 85 %.</w:t>
            </w:r>
          </w:p>
          <w:p w14:paraId="7E898222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Genotipavimo tikslumą ≥ 98 %.</w:t>
            </w:r>
          </w:p>
          <w:p w14:paraId="2954CD04" w14:textId="3DD1903E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Pakartoja</w:t>
            </w: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mumą, patvirtintą naudojant vidines kontrolės priemones.</w:t>
            </w:r>
          </w:p>
          <w:p w14:paraId="03CF4F6C" w14:textId="7777777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Didelį rezultatų atkuriamumą tarp skirtingų sekoskaitos partijų.</w:t>
            </w:r>
          </w:p>
          <w:p w14:paraId="5F760658" w14:textId="468B9E07" w:rsidR="00827823" w:rsidRPr="00827823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Standartizuotą SNP nustatymo (SNP calling) analizės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procesą</w:t>
            </w:r>
            <w:r w:rsidRPr="008278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C9C26F" w14:textId="67FB7D00" w:rsidR="00BD4AE9" w:rsidRPr="00BB2A34" w:rsidRDefault="00827823" w:rsidP="005E2A7C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  <w:tab w:val="left" w:pos="993"/>
                <w:tab w:val="left" w:pos="1276"/>
              </w:tabs>
              <w:ind w:left="321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Suderinamumą su standartiniais populiacinės genetikos analizės metodais ir darbo eigomis.</w:t>
            </w:r>
          </w:p>
        </w:tc>
        <w:tc>
          <w:tcPr>
            <w:tcW w:w="4677" w:type="dxa"/>
          </w:tcPr>
          <w:p w14:paraId="67B6541C" w14:textId="77777777" w:rsidR="00BD4AE9" w:rsidRPr="00BD4AE9" w:rsidRDefault="00BD4AE9" w:rsidP="005E2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performance requirements</w:t>
            </w:r>
          </w:p>
          <w:p w14:paraId="58C5A9F0" w14:textId="77777777" w:rsidR="00BD4AE9" w:rsidRPr="00BD4AE9" w:rsidRDefault="00BD4AE9" w:rsidP="005E2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applied method must ensure:</w:t>
            </w:r>
          </w:p>
          <w:p w14:paraId="32153F05" w14:textId="28963335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Reliable performance for species with large and complex genomes.</w:t>
            </w:r>
          </w:p>
          <w:p w14:paraId="741F6CB1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Targeted SNP capture or equivalent targeted sequencing strategy.</w:t>
            </w:r>
          </w:p>
          <w:p w14:paraId="540B9DB9" w14:textId="77777777" w:rsidR="008A09AF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9D87" w14:textId="3EB53091" w:rsidR="008A09AF" w:rsidRDefault="008A09AF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 predefined panel of SNP markers for both species should be ready to use.</w:t>
            </w:r>
          </w:p>
          <w:p w14:paraId="7499C63F" w14:textId="6DADE557" w:rsidR="00BD4AE9" w:rsidRPr="00BD4AE9" w:rsidRDefault="00BD4AE9" w:rsidP="008A09AF">
            <w:pPr>
              <w:tabs>
                <w:tab w:val="num" w:pos="1440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5A25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High-throughput sequencing suitable for large population datasets.</w:t>
            </w:r>
          </w:p>
          <w:p w14:paraId="142A0FA4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Minimum genotype call rate ≥ 85%.</w:t>
            </w:r>
          </w:p>
          <w:p w14:paraId="2360F942" w14:textId="77777777" w:rsidR="008A09AF" w:rsidRPr="00BD4AE9" w:rsidRDefault="008A09AF" w:rsidP="008A09AF">
            <w:p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C405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Genotyping accuracy ≥ 98%.</w:t>
            </w:r>
          </w:p>
          <w:p w14:paraId="14BACB8F" w14:textId="77777777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Reproducibility verified through internal controls.</w:t>
            </w:r>
          </w:p>
          <w:p w14:paraId="5D1FFB53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 reproducibility across sequencing batches.</w:t>
            </w:r>
          </w:p>
          <w:p w14:paraId="2EF978D8" w14:textId="77777777" w:rsid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Standardised SNP calling pipeline.</w:t>
            </w:r>
          </w:p>
          <w:p w14:paraId="27ACF94D" w14:textId="77777777" w:rsidR="008A09AF" w:rsidRPr="00BD4AE9" w:rsidRDefault="008A09AF" w:rsidP="008A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F32B" w14:textId="5E5F9748" w:rsidR="00BD4AE9" w:rsidRPr="00BD4AE9" w:rsidRDefault="00BD4AE9" w:rsidP="005E2A7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Compatibility with standard population genetic analysis workflows.</w:t>
            </w:r>
          </w:p>
        </w:tc>
      </w:tr>
      <w:tr w:rsidR="00BD4AE9" w14:paraId="7D952C2A" w14:textId="77777777" w:rsidTr="0046529F">
        <w:tc>
          <w:tcPr>
            <w:tcW w:w="4962" w:type="dxa"/>
          </w:tcPr>
          <w:p w14:paraId="6D28F93D" w14:textId="77777777" w:rsidR="00AE79CC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9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Mėginių surinkimo ir logistikos reikalavimai</w:t>
            </w:r>
          </w:p>
          <w:p w14:paraId="49FBDFCF" w14:textId="77777777" w:rsidR="00CA775E" w:rsidRPr="00AE79CC" w:rsidRDefault="00CA775E" w:rsidP="00C3366A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D30969F" w14:textId="5AAA47EA" w:rsidR="00C3366A" w:rsidRDefault="003A2417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Paslaugos teikėjas</w:t>
            </w:r>
            <w:r w:rsidR="00AE79CC"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užtikrinti integruotą darbo eigą, garantuojančią saugų ir efektyvų biologinių mėginių tvarkymą viso genotipavimo proceso metu.</w:t>
            </w:r>
          </w:p>
          <w:p w14:paraId="1BF9ECA4" w14:textId="322E16E1" w:rsidR="00AE79CC" w:rsidRPr="00C3366A" w:rsidRDefault="00AE79CC" w:rsidP="00C3366A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Paslauga turi apimti:</w:t>
            </w:r>
          </w:p>
          <w:p w14:paraId="4527497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koordinuotą mėginių surinkimo priemonių priėmimą ir paskirstymą, kai taikoma;</w:t>
            </w:r>
          </w:p>
          <w:p w14:paraId="17D75876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aiškų logistinį koordinavimą, siekiant sumažinti vėlavimo riziką mėginių siuntimo ir apdorojimo metu;</w:t>
            </w:r>
          </w:p>
          <w:p w14:paraId="35FF0583" w14:textId="77777777" w:rsidR="00C3366A" w:rsidRDefault="00AE79CC" w:rsidP="008A09AF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mėginių surinkimo sprendimus, leidžiančius užtikrinti stabilų mėginių laikymą ir transportavimą lauko sąlygomis, įskaitant galimybes išsaugoti mėginius kambario temperatūroje, kai šaltojo transportavimo (cold-chain) logistika nėra įmanoma;</w:t>
            </w:r>
          </w:p>
          <w:p w14:paraId="5FBA863A" w14:textId="0EE732E2" w:rsidR="00BD4AE9" w:rsidRPr="00BD4AE9" w:rsidRDefault="00AE79CC" w:rsidP="000D119D">
            <w:pPr>
              <w:pStyle w:val="ListParagraph"/>
              <w:numPr>
                <w:ilvl w:val="0"/>
                <w:numId w:val="15"/>
              </w:numPr>
              <w:tabs>
                <w:tab w:val="left" w:pos="321"/>
                <w:tab w:val="left" w:pos="993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66A">
              <w:rPr>
                <w:rFonts w:ascii="Times New Roman" w:eastAsia="Calibri" w:hAnsi="Times New Roman" w:cs="Times New Roman"/>
                <w:sz w:val="24"/>
                <w:szCs w:val="24"/>
              </w:rPr>
              <w:t>dokumentuotas mėginių sekimo ir perdavimo (chain-of-custody) procedūras visiems mėginiams.</w:t>
            </w:r>
          </w:p>
        </w:tc>
        <w:tc>
          <w:tcPr>
            <w:tcW w:w="4677" w:type="dxa"/>
          </w:tcPr>
          <w:p w14:paraId="58DA279C" w14:textId="77777777" w:rsidR="00BD4AE9" w:rsidRPr="00BD4AE9" w:rsidRDefault="00BD4AE9" w:rsidP="00C33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Collection and Logistics Requirements</w:t>
            </w:r>
          </w:p>
          <w:p w14:paraId="442E7073" w14:textId="77777777" w:rsidR="00BD4AE9" w:rsidRPr="00BD4AE9" w:rsidRDefault="00BD4AE9" w:rsidP="008A09AF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 an integrated workflow ensuring secure and efficient handling of biological samples throughout the genotyping process.</w:t>
            </w:r>
          </w:p>
          <w:p w14:paraId="449CD161" w14:textId="77777777" w:rsidR="00BD4AE9" w:rsidRPr="00BD4AE9" w:rsidRDefault="00BD4AE9" w:rsidP="008A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service shall include:</w:t>
            </w:r>
          </w:p>
          <w:p w14:paraId="4F195BC4" w14:textId="77777777" w:rsidR="00BD4AE9" w:rsidRP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coordinated reception and distribution of sample collection materials where applicable;</w:t>
            </w:r>
          </w:p>
          <w:p w14:paraId="1AE24CC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clear logistical coordination to minimise risks of delays during sample shipment and processing;</w:t>
            </w:r>
          </w:p>
          <w:p w14:paraId="76A7B784" w14:textId="77777777" w:rsidR="00BD4AE9" w:rsidRDefault="00BD4AE9" w:rsidP="008A09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sample collection solutions enabling stable storage and transport under field conditions, including options allowing room-temperature preservation when cold-chain logistics are not feasible;</w:t>
            </w:r>
          </w:p>
          <w:p w14:paraId="1F5E06D0" w14:textId="77777777" w:rsidR="00CA775E" w:rsidRDefault="00CA775E" w:rsidP="00CA775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3DA2" w14:textId="4B12844B" w:rsidR="00BD4AE9" w:rsidRPr="00BD4AE9" w:rsidRDefault="00BD4AE9" w:rsidP="0019210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9D">
              <w:rPr>
                <w:rFonts w:ascii="Times New Roman" w:hAnsi="Times New Roman" w:cs="Times New Roman"/>
                <w:sz w:val="24"/>
                <w:szCs w:val="24"/>
              </w:rPr>
              <w:t>documented chain-of-custody procedures for all samples.</w:t>
            </w:r>
          </w:p>
        </w:tc>
      </w:tr>
      <w:tr w:rsidR="00BD4AE9" w14:paraId="5C9A30BB" w14:textId="77777777" w:rsidTr="0046529F">
        <w:tc>
          <w:tcPr>
            <w:tcW w:w="4962" w:type="dxa"/>
          </w:tcPr>
          <w:p w14:paraId="2AC9DA43" w14:textId="1F27BDB6" w:rsidR="00A867E0" w:rsidRPr="0020785A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DNR išskyrimas</w:t>
            </w:r>
            <w:r w:rsidR="006C50C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  <w:p w14:paraId="460443A2" w14:textId="77777777" w:rsidR="00A867E0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lastRenderedPageBreak/>
              <w:t>DNR išskyrimo procesas turi užtikrinti:</w:t>
            </w:r>
          </w:p>
          <w:p w14:paraId="2BFF0EBF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nuoseklią DNR kokybę, tinkamą tiksliniam genotipavimui naudojant sekoskaitos metodus (targeted genotyping-by-sequencing);</w:t>
            </w:r>
          </w:p>
          <w:p w14:paraId="41CF65C1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optimizavimo procedūras, pritaikytas sudėtingiems augalų audiniams;</w:t>
            </w:r>
          </w:p>
          <w:p w14:paraId="6E6AE96C" w14:textId="7777777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nepavykusių mėginių skaičiaus mažinimą, atsirandantį dėl netinkamos DNR kokybės ar kiekio;</w:t>
            </w:r>
          </w:p>
          <w:p w14:paraId="7F7B257B" w14:textId="5B3183A7" w:rsidR="00A867E0" w:rsidRPr="00BB2A34" w:rsidRDefault="00A867E0" w:rsidP="004A26D7">
            <w:pPr>
              <w:pStyle w:val="ListParagraph"/>
              <w:numPr>
                <w:ilvl w:val="0"/>
                <w:numId w:val="16"/>
              </w:numPr>
              <w:tabs>
                <w:tab w:val="left" w:pos="37"/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nuolatinio kokybės gerinimo procedūrų įgyvendinimą laboratoriniuose darbuose.</w:t>
            </w:r>
          </w:p>
          <w:p w14:paraId="3259EE0C" w14:textId="77777777" w:rsidR="00A867E0" w:rsidRPr="00BB2A34" w:rsidRDefault="00A867E0" w:rsidP="00A867E0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119842A" w14:textId="3F07E7BA" w:rsidR="00BD4AE9" w:rsidRPr="00BB2A34" w:rsidRDefault="004A26D7" w:rsidP="004A26D7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Tiekėjas</w:t>
            </w:r>
            <w:r w:rsidR="0035020B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pateikdamas pasiūl</w:t>
            </w:r>
            <w:r w:rsidR="0037565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ymą</w:t>
            </w:r>
            <w:r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A867E0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turi </w:t>
            </w:r>
            <w:r w:rsidR="00E50912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pa</w:t>
            </w:r>
            <w:r w:rsidR="00D41007" w:rsidRPr="002078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teikti</w:t>
            </w:r>
            <w:r w:rsidR="00E50912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rizikų vertinimo ir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jų valdymo planą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skirt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ą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sumažinti projekto vėlavimo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rizik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as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susijusi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as</w:t>
            </w:r>
            <w:r w:rsidR="00D41007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su galimomis DNR išskyrimo problemomis</w:t>
            </w:r>
            <w:r w:rsidR="00D4100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ar įrangos gedimais</w:t>
            </w:r>
            <w:r w:rsidR="00A867E0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24FDDBB2" w14:textId="07B110D8" w:rsidR="00BD4AE9" w:rsidRPr="0020785A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DNA Extraction</w:t>
            </w:r>
            <w:r w:rsidR="006C50C7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4BFF76" w14:textId="77777777" w:rsidR="00BD4AE9" w:rsidRDefault="00BD4AE9" w:rsidP="00A8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extraction process shall ensure:</w:t>
            </w:r>
          </w:p>
          <w:p w14:paraId="11942664" w14:textId="77777777" w:rsid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consistent DNA quality suitable for targeted genotyping-by-sequencing;</w:t>
            </w:r>
          </w:p>
          <w:p w14:paraId="1CB36074" w14:textId="77777777" w:rsidR="00240620" w:rsidRDefault="00240620" w:rsidP="00240620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799B" w14:textId="77777777" w:rsidR="00BD4AE9" w:rsidRP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optimisation procedures adapted to challenging plant tissues;</w:t>
            </w:r>
          </w:p>
          <w:p w14:paraId="16F320C1" w14:textId="77777777" w:rsid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minimisation of failed samples caused by suboptimal DNA input;</w:t>
            </w:r>
          </w:p>
          <w:p w14:paraId="55551EE8" w14:textId="77777777" w:rsidR="001C6579" w:rsidRDefault="001C6579" w:rsidP="001C6579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3FE4" w14:textId="77777777" w:rsidR="00BD4AE9" w:rsidRPr="00BD4AE9" w:rsidRDefault="00BD4AE9" w:rsidP="004A26D7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implementation of continuous quality improvement procedures within laboratory workflows.</w:t>
            </w:r>
          </w:p>
          <w:p w14:paraId="2AF037D2" w14:textId="2A374574" w:rsidR="00BD4AE9" w:rsidRPr="00BD4AE9" w:rsidRDefault="00AB7862" w:rsidP="004A26D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service provider</w:t>
            </w:r>
            <w:r w:rsidR="0020785A"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when submitting a proposal,</w:t>
            </w:r>
            <w:r w:rsidRPr="00207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 provide</w:t>
            </w:r>
            <w:r w:rsidRPr="00AB7862">
              <w:rPr>
                <w:rFonts w:ascii="Times New Roman" w:hAnsi="Times New Roman" w:cs="Times New Roman"/>
                <w:sz w:val="24"/>
                <w:szCs w:val="24"/>
              </w:rPr>
              <w:t xml:space="preserve"> a risk assessment and a risk management plan aimed at minimizing the risk of project delays associated with potential DNA extraction issues or equipment failures.</w:t>
            </w:r>
          </w:p>
        </w:tc>
      </w:tr>
      <w:tr w:rsidR="00BD4AE9" w14:paraId="6DAAC865" w14:textId="77777777" w:rsidTr="0046529F">
        <w:tc>
          <w:tcPr>
            <w:tcW w:w="4962" w:type="dxa"/>
          </w:tcPr>
          <w:p w14:paraId="3376F5FB" w14:textId="335ADE1D" w:rsidR="0049621E" w:rsidRPr="00BB2A34" w:rsidRDefault="0049621E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Duomenų apdorojimas</w:t>
            </w:r>
          </w:p>
          <w:p w14:paraId="06861848" w14:textId="60D7020F" w:rsidR="003A2417" w:rsidRPr="00BB2A34" w:rsidRDefault="003A2417" w:rsidP="0049621E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Paslaugos teikėjas turi pateikti:</w:t>
            </w:r>
          </w:p>
          <w:p w14:paraId="6C797BB7" w14:textId="77777777" w:rsidR="0049621E" w:rsidRPr="00BB2A34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Neapdorotus sekoskaitos duomenis (jei taikoma).</w:t>
            </w:r>
          </w:p>
          <w:p w14:paraId="1F12AF5D" w14:textId="093286D2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SNP nustatymo (SNP calling) rezultatus.</w:t>
            </w:r>
          </w:p>
          <w:p w14:paraId="72592075" w14:textId="06E0B50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Filtruotą genotipų matricą.</w:t>
            </w:r>
          </w:p>
          <w:p w14:paraId="02B3A9AC" w14:textId="3712D493" w:rsidR="0049621E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eastAsia="Calibri" w:hAnsi="Times New Roman" w:cs="Times New Roman"/>
                <w:sz w:val="24"/>
                <w:szCs w:val="24"/>
              </w:rPr>
              <w:t>Kokybės kontrolės statistinius duomenis (trūkstami duomenys, alelių dažniai, klaidų įverčiai).</w:t>
            </w:r>
          </w:p>
          <w:p w14:paraId="18A3EA5C" w14:textId="77777777" w:rsidR="00BD4AE9" w:rsidRDefault="003A2417" w:rsidP="004A26D7">
            <w:pPr>
              <w:pStyle w:val="ListParagraph"/>
              <w:numPr>
                <w:ilvl w:val="0"/>
                <w:numId w:val="17"/>
              </w:numPr>
              <w:tabs>
                <w:tab w:val="left" w:pos="37"/>
                <w:tab w:val="left" w:pos="321"/>
                <w:tab w:val="left" w:pos="1276"/>
              </w:tabs>
              <w:ind w:left="37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Naudotos bioinformatinės analizės darbo eigos (pipeline) dokumentaciją.</w:t>
            </w:r>
          </w:p>
          <w:p w14:paraId="5DD524F3" w14:textId="77777777" w:rsid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66A3BD5D" w14:textId="394DBDBF" w:rsidR="002E4896" w:rsidRDefault="00894F9C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894F9C">
              <w:rPr>
                <w:rStyle w:val="cf01"/>
                <w:rFonts w:ascii="Times New Roman" w:hAnsi="Times New Roman" w:cs="Times New Roman"/>
                <w:sz w:val="24"/>
                <w:szCs w:val="24"/>
                <w:lang w:val="pt-BR"/>
              </w:rPr>
              <w:t>Gauti paslaugos įvykdymo rezultatai pateikiami elektroniniu paštu Pirkėjo nurodytu el. paštu.</w:t>
            </w:r>
          </w:p>
          <w:p w14:paraId="224C4DAD" w14:textId="75FB3B9B" w:rsidR="002E4896" w:rsidRPr="002E4896" w:rsidRDefault="002E4896" w:rsidP="002E4896">
            <w:pPr>
              <w:tabs>
                <w:tab w:val="left" w:pos="37"/>
                <w:tab w:val="left" w:pos="321"/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77" w:type="dxa"/>
          </w:tcPr>
          <w:p w14:paraId="45939499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processing</w:t>
            </w:r>
          </w:p>
          <w:p w14:paraId="49B89264" w14:textId="77777777" w:rsidR="00BD4AE9" w:rsidRPr="00BD4AE9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The contractor shall provide:</w:t>
            </w:r>
          </w:p>
          <w:p w14:paraId="48D4D3E1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Raw sequencing data (if applicable).</w:t>
            </w:r>
          </w:p>
          <w:p w14:paraId="6881F21E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3881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SNP calling output.</w:t>
            </w:r>
          </w:p>
          <w:p w14:paraId="20717792" w14:textId="77777777" w:rsidR="00BD4AE9" w:rsidRP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Filtered genotype matrix.</w:t>
            </w:r>
          </w:p>
          <w:p w14:paraId="3C04D330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Quality control statistics (missing data, allele frequency, error estimates).</w:t>
            </w:r>
          </w:p>
          <w:p w14:paraId="5CAE5646" w14:textId="77777777" w:rsidR="00C25C30" w:rsidRPr="00BD4AE9" w:rsidRDefault="00C25C30" w:rsidP="00C25C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FBEB" w14:textId="77777777" w:rsidR="00BD4AE9" w:rsidRDefault="00BD4AE9" w:rsidP="004A26D7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Documentation of bioinformatic pipeline used.</w:t>
            </w:r>
          </w:p>
          <w:p w14:paraId="0B954B7E" w14:textId="77777777" w:rsid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B439" w14:textId="6791F058" w:rsidR="00E23F08" w:rsidRPr="00E23F08" w:rsidRDefault="00E23F08" w:rsidP="00E2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F08">
              <w:rPr>
                <w:rFonts w:ascii="Times New Roman" w:hAnsi="Times New Roman" w:cs="Times New Roman"/>
                <w:sz w:val="24"/>
                <w:szCs w:val="24"/>
              </w:rPr>
              <w:t>The results of the completed services shall be delivered by email to the address specified by the Buyer.</w:t>
            </w:r>
          </w:p>
        </w:tc>
      </w:tr>
      <w:tr w:rsidR="00BD4AE9" w14:paraId="09145E30" w14:textId="77777777" w:rsidTr="0046529F">
        <w:tc>
          <w:tcPr>
            <w:tcW w:w="4962" w:type="dxa"/>
          </w:tcPr>
          <w:p w14:paraId="34ADA4EC" w14:textId="77777777" w:rsidR="0048245F" w:rsidRPr="0048245F" w:rsidRDefault="0048245F" w:rsidP="0048245F">
            <w:pPr>
              <w:tabs>
                <w:tab w:val="left" w:pos="567"/>
                <w:tab w:val="left" w:pos="993"/>
                <w:tab w:val="left" w:pos="1276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Metodologinis pagrindimas</w:t>
            </w:r>
          </w:p>
          <w:p w14:paraId="52B3BFF6" w14:textId="0A4FB497" w:rsidR="00C25C30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>Projekt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vykdymui 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reikalingas didelio našumo ir 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>pakartojamas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SNP genotipavimas didel</w:t>
            </w:r>
            <w:r w:rsidR="00507945">
              <w:rPr>
                <w:rFonts w:ascii="Times New Roman" w:eastAsia="Calibri" w:hAnsi="Times New Roman" w:cs="Times New Roman"/>
                <w:sz w:val="24"/>
                <w:szCs w:val="24"/>
              </w:rPr>
              <w:t>ėms imtims skirtas miško medžių</w:t>
            </w:r>
            <w:r w:rsidR="00340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406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</w:t>
            </w:r>
            <w:r w:rsidR="00411AF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Picea abies</w:t>
            </w:r>
            <w:r w:rsidR="003406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populiacijų duomenų rinkiniams. Tyrimo tikslai apima populiacinės genetikos analizes, skirtingų mėginių ėmimo vietų palyginimą ir ilgalaikį duomenų rinkinių suderinamumą vykdant genetinio monitoringo veiklas.</w:t>
            </w:r>
          </w:p>
          <w:p w14:paraId="553BFF2E" w14:textId="11BE75A4" w:rsidR="003406F3" w:rsidRDefault="0048245F" w:rsidP="00C25C30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45F">
              <w:rPr>
                <w:rFonts w:ascii="Times New Roman" w:eastAsia="Calibri" w:hAnsi="Times New Roman" w:cs="Times New Roman"/>
                <w:sz w:val="24"/>
                <w:szCs w:val="24"/>
              </w:rPr>
              <w:t>Reikalaujama taikyti tikslinį genotipavimo sekoskaita (targeted genotyping-by-sequencing, GBS) metodą, nes jis leidžia:</w:t>
            </w:r>
          </w:p>
          <w:p w14:paraId="5254410C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nuosekliai genotipuoti iš anksto apibrėžtus SNP lokusus visuose mėginiuose;</w:t>
            </w:r>
          </w:p>
          <w:p w14:paraId="0A348BC3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užtikrinti aukštą atkuriamumą tarp skirtingų sekoskaitos partijų ir būsimų analizių;</w:t>
            </w:r>
          </w:p>
          <w:p w14:paraId="18654E26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sumažinti trūkstamų duomenų kiekį, palyginti su sumažintos reprezentacijos sekoskaitos metodais;</w:t>
            </w:r>
          </w:p>
          <w:p w14:paraId="16E295C5" w14:textId="77777777" w:rsidR="003406F3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F3">
              <w:rPr>
                <w:rFonts w:ascii="Times New Roman" w:eastAsia="Calibri" w:hAnsi="Times New Roman" w:cs="Times New Roman"/>
                <w:sz w:val="24"/>
                <w:szCs w:val="24"/>
              </w:rPr>
              <w:t>ekonomiškai efektyviai apdoroti didelį mėginių skaičių (&gt;1000 mėginių kiekvienai rūšiai);</w:t>
            </w:r>
          </w:p>
          <w:p w14:paraId="0656DE8A" w14:textId="1F22D8C4" w:rsidR="0048245F" w:rsidRPr="00BB2A34" w:rsidRDefault="0048245F" w:rsidP="00C25C30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321"/>
                <w:tab w:val="left" w:pos="12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užtikrinti suderinamumą su tolesnėmis populiacinės genetikos ir genetinio monitoringo analizėmis.</w:t>
            </w:r>
          </w:p>
          <w:p w14:paraId="40DD0A05" w14:textId="00447AD6" w:rsidR="00BD4AE9" w:rsidRPr="00BB2A34" w:rsidRDefault="0048245F" w:rsidP="00A45643">
            <w:pPr>
              <w:tabs>
                <w:tab w:val="left" w:pos="567"/>
                <w:tab w:val="left" w:pos="993"/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Alternatyvūs metodai, tokie kaip atsitiktinis GBS arba viso genomo sekoskaita</w:t>
            </w:r>
            <w:r w:rsidR="003406F3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generuotų perteklinį duomenų kiekį, nereikalingą šio tyrimo tikslams, arba sukeltų </w:t>
            </w:r>
            <w:r w:rsidR="003406F3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duomenų trūkumą ir neaiškumą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ir mažesnį skirtingų duomenų rinkinių palyginamumą. Todėl tikslinio SNP genotipavimo sekoskaita metodika yra moksliškai tinkamiausias ir proporcingiausias sprendimas</w:t>
            </w:r>
            <w:r w:rsidR="007052AE"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mūsų projekte</w:t>
            </w:r>
            <w:r w:rsidRPr="00BB2A3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4677" w:type="dxa"/>
          </w:tcPr>
          <w:p w14:paraId="7239147B" w14:textId="77777777" w:rsidR="00BD4AE9" w:rsidRPr="00BD4AE9" w:rsidRDefault="00BD4AE9" w:rsidP="00BD4A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Methodological justification</w:t>
            </w:r>
          </w:p>
          <w:p w14:paraId="12D3A960" w14:textId="716C6BB9" w:rsidR="00BD4AE9" w:rsidRPr="00BD4AE9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The project requires high-throughput, reproducible SNP genotyping across large population datasets of </w:t>
            </w:r>
            <w:r w:rsidRPr="00BD4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Fraxinus excelsior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11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Picea abies</w:t>
            </w: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. The research objectives include population genetic analyses, comparison among sampling sites, and long-term compatibility of datasets across monitoring activities.</w:t>
            </w:r>
          </w:p>
          <w:p w14:paraId="0D6394ED" w14:textId="77777777" w:rsidR="00C25C30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708F" w14:textId="1DC52C6A" w:rsidR="00BD4AE9" w:rsidRDefault="00BD4AE9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 targeted genotyping-by-sequencing (GBS) approach is required because it enables:</w:t>
            </w:r>
          </w:p>
          <w:p w14:paraId="3048F9F1" w14:textId="77777777" w:rsidR="00C25C30" w:rsidRPr="00BD4AE9" w:rsidRDefault="00C25C30" w:rsidP="00BD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C0FFE" w14:textId="77777777" w:rsidR="00BD4AE9" w:rsidRP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consistent genotyping of predefined SNP loci across all samples,</w:t>
            </w:r>
          </w:p>
          <w:p w14:paraId="0A4E4849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high reproducibility between sequencing batches and future analyses,</w:t>
            </w:r>
          </w:p>
          <w:p w14:paraId="066CBFB8" w14:textId="77777777" w:rsidR="00E23F08" w:rsidRPr="00BD4AE9" w:rsidRDefault="00E23F08" w:rsidP="00E23F08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D728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reduced missing data compared to reduced-representation sequencing methods,</w:t>
            </w:r>
          </w:p>
          <w:p w14:paraId="0AA94650" w14:textId="77777777" w:rsidR="00A45643" w:rsidRPr="00BD4AE9" w:rsidRDefault="00A45643" w:rsidP="00A4564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140B" w14:textId="77777777" w:rsid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cost-efficient processing of large sample numbers (&gt;1000 samples per species),</w:t>
            </w:r>
          </w:p>
          <w:p w14:paraId="36A90F43" w14:textId="77777777" w:rsidR="00A45643" w:rsidRPr="00BD4AE9" w:rsidRDefault="00A45643" w:rsidP="00A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9CDF" w14:textId="77777777" w:rsidR="00BD4AE9" w:rsidRPr="00BD4AE9" w:rsidRDefault="00BD4AE9" w:rsidP="00C25C30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compatibility with downstream population genetics and monitoring analyses.</w:t>
            </w:r>
          </w:p>
          <w:p w14:paraId="51DE7B19" w14:textId="77777777" w:rsidR="00C25C30" w:rsidRDefault="00C25C30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44A5" w14:textId="7D3769B0" w:rsidR="00BD4AE9" w:rsidRPr="00BD4AE9" w:rsidRDefault="00BD4AE9" w:rsidP="00BD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AE9">
              <w:rPr>
                <w:rFonts w:ascii="Times New Roman" w:hAnsi="Times New Roman" w:cs="Times New Roman"/>
                <w:sz w:val="24"/>
                <w:szCs w:val="24"/>
              </w:rPr>
              <w:t>Alternative approaches such as random GBS or whole-genome sequencing would either generate excessive data not required for the study objectives or introduce higher levels of missing data and reduced comparability across datasets. Therefore, a targeted SNP genotyping-by-sequencing methodology represents the most scientifically appropriate and proportionate solution.</w:t>
            </w:r>
          </w:p>
        </w:tc>
      </w:tr>
    </w:tbl>
    <w:p w14:paraId="5AC08BDE" w14:textId="77777777" w:rsidR="00BD4AE9" w:rsidRDefault="00BD4AE9" w:rsidP="00BD4AE9"/>
    <w:p w14:paraId="52F401FE" w14:textId="53F0EA49" w:rsidR="00A45643" w:rsidRPr="00A45643" w:rsidRDefault="00A45643" w:rsidP="00A45643">
      <w:pPr>
        <w:jc w:val="center"/>
      </w:pPr>
      <w:r>
        <w:t>__________________</w:t>
      </w:r>
    </w:p>
    <w:sectPr w:rsidR="00A45643" w:rsidRPr="00A45643" w:rsidSect="0046529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2841" w14:textId="77777777" w:rsidR="009D451F" w:rsidRDefault="009D451F" w:rsidP="00BB2A34">
      <w:pPr>
        <w:spacing w:after="0" w:line="240" w:lineRule="auto"/>
      </w:pPr>
      <w:r>
        <w:separator/>
      </w:r>
    </w:p>
  </w:endnote>
  <w:endnote w:type="continuationSeparator" w:id="0">
    <w:p w14:paraId="6E28FA7D" w14:textId="77777777" w:rsidR="009D451F" w:rsidRDefault="009D451F" w:rsidP="00BB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9E31" w14:textId="77777777" w:rsidR="009D451F" w:rsidRDefault="009D451F" w:rsidP="00BB2A34">
      <w:pPr>
        <w:spacing w:after="0" w:line="240" w:lineRule="auto"/>
      </w:pPr>
      <w:r>
        <w:separator/>
      </w:r>
    </w:p>
  </w:footnote>
  <w:footnote w:type="continuationSeparator" w:id="0">
    <w:p w14:paraId="59438795" w14:textId="77777777" w:rsidR="009D451F" w:rsidRDefault="009D451F" w:rsidP="00BB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036799"/>
      <w:docPartObj>
        <w:docPartGallery w:val="Page Numbers (Top of Page)"/>
        <w:docPartUnique/>
      </w:docPartObj>
    </w:sdtPr>
    <w:sdtEndPr/>
    <w:sdtContent>
      <w:p w14:paraId="1F3AE795" w14:textId="6058D438" w:rsidR="00BB2A34" w:rsidRDefault="00BB2A34">
        <w:pPr>
          <w:pStyle w:val="Header"/>
          <w:jc w:val="center"/>
        </w:pPr>
        <w:r w:rsidRPr="00BB2A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2A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2A34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BB2A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15CB0B" w14:textId="77777777" w:rsidR="00BB2A34" w:rsidRDefault="00BB2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A0F"/>
    <w:multiLevelType w:val="multilevel"/>
    <w:tmpl w:val="ED7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09FB"/>
    <w:multiLevelType w:val="multilevel"/>
    <w:tmpl w:val="C4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C746D"/>
    <w:multiLevelType w:val="hybridMultilevel"/>
    <w:tmpl w:val="70F0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20995"/>
    <w:multiLevelType w:val="multilevel"/>
    <w:tmpl w:val="7362DAE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2A8328EA"/>
    <w:multiLevelType w:val="multilevel"/>
    <w:tmpl w:val="93C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31A5A"/>
    <w:multiLevelType w:val="multilevel"/>
    <w:tmpl w:val="239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E2138"/>
    <w:multiLevelType w:val="hybridMultilevel"/>
    <w:tmpl w:val="2E98D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F5584"/>
    <w:multiLevelType w:val="hybridMultilevel"/>
    <w:tmpl w:val="EF9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13937"/>
    <w:multiLevelType w:val="multilevel"/>
    <w:tmpl w:val="8006D6C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3206EE9"/>
    <w:multiLevelType w:val="multilevel"/>
    <w:tmpl w:val="7C82F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3600699"/>
    <w:multiLevelType w:val="multilevel"/>
    <w:tmpl w:val="5C14D9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860B0D"/>
    <w:multiLevelType w:val="hybridMultilevel"/>
    <w:tmpl w:val="786E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D24ED"/>
    <w:multiLevelType w:val="multilevel"/>
    <w:tmpl w:val="014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1BEE"/>
    <w:multiLevelType w:val="multilevel"/>
    <w:tmpl w:val="27F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E7916"/>
    <w:multiLevelType w:val="hybridMultilevel"/>
    <w:tmpl w:val="5F6AF7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956A14"/>
    <w:multiLevelType w:val="multilevel"/>
    <w:tmpl w:val="0C3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0624A"/>
    <w:multiLevelType w:val="hybridMultilevel"/>
    <w:tmpl w:val="117E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60D35"/>
    <w:multiLevelType w:val="hybridMultilevel"/>
    <w:tmpl w:val="583A3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B4971"/>
    <w:multiLevelType w:val="multilevel"/>
    <w:tmpl w:val="ADD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14B9B"/>
    <w:multiLevelType w:val="hybridMultilevel"/>
    <w:tmpl w:val="3586D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E60"/>
    <w:multiLevelType w:val="hybridMultilevel"/>
    <w:tmpl w:val="F0101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96AA1"/>
    <w:multiLevelType w:val="multilevel"/>
    <w:tmpl w:val="37FE6C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2875317">
    <w:abstractNumId w:val="4"/>
  </w:num>
  <w:num w:numId="2" w16cid:durableId="1970937388">
    <w:abstractNumId w:val="0"/>
  </w:num>
  <w:num w:numId="3" w16cid:durableId="1793481412">
    <w:abstractNumId w:val="5"/>
  </w:num>
  <w:num w:numId="4" w16cid:durableId="29454597">
    <w:abstractNumId w:val="18"/>
  </w:num>
  <w:num w:numId="5" w16cid:durableId="1584955032">
    <w:abstractNumId w:val="1"/>
  </w:num>
  <w:num w:numId="6" w16cid:durableId="178131457">
    <w:abstractNumId w:val="15"/>
  </w:num>
  <w:num w:numId="7" w16cid:durableId="757211914">
    <w:abstractNumId w:val="12"/>
  </w:num>
  <w:num w:numId="8" w16cid:durableId="811096625">
    <w:abstractNumId w:val="14"/>
  </w:num>
  <w:num w:numId="9" w16cid:durableId="1730685857">
    <w:abstractNumId w:val="13"/>
  </w:num>
  <w:num w:numId="10" w16cid:durableId="2112846728">
    <w:abstractNumId w:val="21"/>
  </w:num>
  <w:num w:numId="11" w16cid:durableId="170251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9267454">
    <w:abstractNumId w:val="20"/>
  </w:num>
  <w:num w:numId="13" w16cid:durableId="569581251">
    <w:abstractNumId w:val="9"/>
  </w:num>
  <w:num w:numId="14" w16cid:durableId="224990640">
    <w:abstractNumId w:val="6"/>
  </w:num>
  <w:num w:numId="15" w16cid:durableId="23403890">
    <w:abstractNumId w:val="16"/>
  </w:num>
  <w:num w:numId="16" w16cid:durableId="133984481">
    <w:abstractNumId w:val="11"/>
  </w:num>
  <w:num w:numId="17" w16cid:durableId="1675188383">
    <w:abstractNumId w:val="2"/>
  </w:num>
  <w:num w:numId="18" w16cid:durableId="556167370">
    <w:abstractNumId w:val="7"/>
  </w:num>
  <w:num w:numId="19" w16cid:durableId="1495686007">
    <w:abstractNumId w:val="19"/>
  </w:num>
  <w:num w:numId="20" w16cid:durableId="1727148291">
    <w:abstractNumId w:val="10"/>
  </w:num>
  <w:num w:numId="21" w16cid:durableId="1114402961">
    <w:abstractNumId w:val="17"/>
  </w:num>
  <w:num w:numId="22" w16cid:durableId="95548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6"/>
    <w:rsid w:val="00012A1F"/>
    <w:rsid w:val="000158D6"/>
    <w:rsid w:val="0001725A"/>
    <w:rsid w:val="00033AC5"/>
    <w:rsid w:val="000B0081"/>
    <w:rsid w:val="000C3813"/>
    <w:rsid w:val="000D119D"/>
    <w:rsid w:val="0011245E"/>
    <w:rsid w:val="00125BD4"/>
    <w:rsid w:val="00150D1B"/>
    <w:rsid w:val="00153E60"/>
    <w:rsid w:val="00164FD6"/>
    <w:rsid w:val="00173E99"/>
    <w:rsid w:val="0019210C"/>
    <w:rsid w:val="001A60CF"/>
    <w:rsid w:val="001B25E7"/>
    <w:rsid w:val="001C6579"/>
    <w:rsid w:val="001D7117"/>
    <w:rsid w:val="0020785A"/>
    <w:rsid w:val="002078C8"/>
    <w:rsid w:val="002312AA"/>
    <w:rsid w:val="00240620"/>
    <w:rsid w:val="002502CC"/>
    <w:rsid w:val="00255C19"/>
    <w:rsid w:val="00285A3E"/>
    <w:rsid w:val="002B0218"/>
    <w:rsid w:val="002E4896"/>
    <w:rsid w:val="002F0F79"/>
    <w:rsid w:val="003406F3"/>
    <w:rsid w:val="00342886"/>
    <w:rsid w:val="0035020B"/>
    <w:rsid w:val="0035025B"/>
    <w:rsid w:val="00351ADD"/>
    <w:rsid w:val="00353871"/>
    <w:rsid w:val="00375657"/>
    <w:rsid w:val="0039056F"/>
    <w:rsid w:val="003A2417"/>
    <w:rsid w:val="003A65B1"/>
    <w:rsid w:val="003C3AFF"/>
    <w:rsid w:val="003D7D91"/>
    <w:rsid w:val="004035F8"/>
    <w:rsid w:val="00404CBD"/>
    <w:rsid w:val="00411AF7"/>
    <w:rsid w:val="0046529F"/>
    <w:rsid w:val="004753AF"/>
    <w:rsid w:val="00480B94"/>
    <w:rsid w:val="0048245F"/>
    <w:rsid w:val="00494904"/>
    <w:rsid w:val="00495E38"/>
    <w:rsid w:val="0049621E"/>
    <w:rsid w:val="004A1086"/>
    <w:rsid w:val="004A26D7"/>
    <w:rsid w:val="004A7AAC"/>
    <w:rsid w:val="004B754B"/>
    <w:rsid w:val="004D6456"/>
    <w:rsid w:val="004E382B"/>
    <w:rsid w:val="005072A1"/>
    <w:rsid w:val="00507945"/>
    <w:rsid w:val="00524653"/>
    <w:rsid w:val="00530162"/>
    <w:rsid w:val="00543C4B"/>
    <w:rsid w:val="005B11B4"/>
    <w:rsid w:val="005B1FE9"/>
    <w:rsid w:val="005E2A7C"/>
    <w:rsid w:val="005E49A8"/>
    <w:rsid w:val="005F129F"/>
    <w:rsid w:val="00602A07"/>
    <w:rsid w:val="00623BA2"/>
    <w:rsid w:val="00624968"/>
    <w:rsid w:val="00641996"/>
    <w:rsid w:val="00665257"/>
    <w:rsid w:val="00681BAE"/>
    <w:rsid w:val="00695825"/>
    <w:rsid w:val="006A7285"/>
    <w:rsid w:val="006C50C7"/>
    <w:rsid w:val="006D07EC"/>
    <w:rsid w:val="006E44BE"/>
    <w:rsid w:val="00701CED"/>
    <w:rsid w:val="007052AE"/>
    <w:rsid w:val="0076089B"/>
    <w:rsid w:val="00772521"/>
    <w:rsid w:val="00780976"/>
    <w:rsid w:val="00785A1A"/>
    <w:rsid w:val="0078644C"/>
    <w:rsid w:val="007934DD"/>
    <w:rsid w:val="007A0E1B"/>
    <w:rsid w:val="007A3230"/>
    <w:rsid w:val="007B0FCA"/>
    <w:rsid w:val="007B18B1"/>
    <w:rsid w:val="007C44E3"/>
    <w:rsid w:val="007F43C5"/>
    <w:rsid w:val="008265BB"/>
    <w:rsid w:val="00827823"/>
    <w:rsid w:val="00843590"/>
    <w:rsid w:val="00843D97"/>
    <w:rsid w:val="008679BE"/>
    <w:rsid w:val="00876707"/>
    <w:rsid w:val="00894F9C"/>
    <w:rsid w:val="008A09AF"/>
    <w:rsid w:val="008D4A41"/>
    <w:rsid w:val="009103EA"/>
    <w:rsid w:val="00911A14"/>
    <w:rsid w:val="009326A6"/>
    <w:rsid w:val="0093714B"/>
    <w:rsid w:val="0094372A"/>
    <w:rsid w:val="0095068D"/>
    <w:rsid w:val="00950D2D"/>
    <w:rsid w:val="0095361C"/>
    <w:rsid w:val="0095477A"/>
    <w:rsid w:val="009633CA"/>
    <w:rsid w:val="00966C69"/>
    <w:rsid w:val="0096781E"/>
    <w:rsid w:val="009A7B22"/>
    <w:rsid w:val="009B6EAB"/>
    <w:rsid w:val="009D451F"/>
    <w:rsid w:val="009E56D3"/>
    <w:rsid w:val="00A06226"/>
    <w:rsid w:val="00A34C70"/>
    <w:rsid w:val="00A42747"/>
    <w:rsid w:val="00A45643"/>
    <w:rsid w:val="00A65F8F"/>
    <w:rsid w:val="00A77C06"/>
    <w:rsid w:val="00A77D16"/>
    <w:rsid w:val="00A867E0"/>
    <w:rsid w:val="00AB7862"/>
    <w:rsid w:val="00AE1551"/>
    <w:rsid w:val="00AE79CC"/>
    <w:rsid w:val="00B00F6B"/>
    <w:rsid w:val="00B049B5"/>
    <w:rsid w:val="00B20937"/>
    <w:rsid w:val="00B362F6"/>
    <w:rsid w:val="00B40583"/>
    <w:rsid w:val="00B413D4"/>
    <w:rsid w:val="00B833B2"/>
    <w:rsid w:val="00B96EC9"/>
    <w:rsid w:val="00BA0B79"/>
    <w:rsid w:val="00BB2A34"/>
    <w:rsid w:val="00BD4AE9"/>
    <w:rsid w:val="00BD7FB5"/>
    <w:rsid w:val="00BF03B9"/>
    <w:rsid w:val="00BF5598"/>
    <w:rsid w:val="00BF56EF"/>
    <w:rsid w:val="00BF6BC4"/>
    <w:rsid w:val="00C01601"/>
    <w:rsid w:val="00C02520"/>
    <w:rsid w:val="00C20D99"/>
    <w:rsid w:val="00C25C30"/>
    <w:rsid w:val="00C3287B"/>
    <w:rsid w:val="00C3366A"/>
    <w:rsid w:val="00C60BC7"/>
    <w:rsid w:val="00C70071"/>
    <w:rsid w:val="00C83BF3"/>
    <w:rsid w:val="00CA64AE"/>
    <w:rsid w:val="00CA775E"/>
    <w:rsid w:val="00CD3C7B"/>
    <w:rsid w:val="00CD5F18"/>
    <w:rsid w:val="00CF76AD"/>
    <w:rsid w:val="00D12685"/>
    <w:rsid w:val="00D41007"/>
    <w:rsid w:val="00D43D11"/>
    <w:rsid w:val="00D52F56"/>
    <w:rsid w:val="00D91FD4"/>
    <w:rsid w:val="00DC0056"/>
    <w:rsid w:val="00DC524B"/>
    <w:rsid w:val="00DD65C4"/>
    <w:rsid w:val="00DD7F84"/>
    <w:rsid w:val="00DE6081"/>
    <w:rsid w:val="00DF7E43"/>
    <w:rsid w:val="00E22B6D"/>
    <w:rsid w:val="00E23F08"/>
    <w:rsid w:val="00E27C7A"/>
    <w:rsid w:val="00E47F3B"/>
    <w:rsid w:val="00E50912"/>
    <w:rsid w:val="00E5655E"/>
    <w:rsid w:val="00E702C1"/>
    <w:rsid w:val="00E71DF6"/>
    <w:rsid w:val="00E75C09"/>
    <w:rsid w:val="00E8584C"/>
    <w:rsid w:val="00E86E28"/>
    <w:rsid w:val="00EA7929"/>
    <w:rsid w:val="00EC63DD"/>
    <w:rsid w:val="00EF4D20"/>
    <w:rsid w:val="00F0248B"/>
    <w:rsid w:val="00F1527F"/>
    <w:rsid w:val="00F20021"/>
    <w:rsid w:val="00F243BB"/>
    <w:rsid w:val="00F24B2C"/>
    <w:rsid w:val="00F47CC8"/>
    <w:rsid w:val="00F569DA"/>
    <w:rsid w:val="00F73335"/>
    <w:rsid w:val="00F83803"/>
    <w:rsid w:val="00F84AF9"/>
    <w:rsid w:val="00F8605E"/>
    <w:rsid w:val="00F92177"/>
    <w:rsid w:val="00FA1FF6"/>
    <w:rsid w:val="00FA6A11"/>
    <w:rsid w:val="00FD4B00"/>
    <w:rsid w:val="00FD6534"/>
    <w:rsid w:val="00FE59D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8B42"/>
  <w15:chartTrackingRefBased/>
  <w15:docId w15:val="{5A2CE1B6-899F-40A0-8F43-EFAFCD2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71D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DF6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DF6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DF6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DF6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DF6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DF6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DF6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D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D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7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DF6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99"/>
    <w:qFormat/>
    <w:rsid w:val="00E71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DF6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71D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3C5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C5"/>
    <w:rPr>
      <w:b/>
      <w:bCs/>
      <w:noProof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8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99"/>
    <w:qFormat/>
    <w:locked/>
    <w:rsid w:val="006A7285"/>
    <w:rPr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34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34"/>
    <w:rPr>
      <w:noProof/>
      <w:lang w:val="en-GB"/>
    </w:rPr>
  </w:style>
  <w:style w:type="paragraph" w:styleId="Revision">
    <w:name w:val="Revision"/>
    <w:hidden/>
    <w:uiPriority w:val="99"/>
    <w:semiHidden/>
    <w:rsid w:val="00BB2A34"/>
    <w:pPr>
      <w:spacing w:after="0" w:line="240" w:lineRule="auto"/>
    </w:pPr>
    <w:rPr>
      <w:noProof/>
      <w:lang w:val="en-GB"/>
    </w:rPr>
  </w:style>
  <w:style w:type="character" w:styleId="Strong">
    <w:name w:val="Strong"/>
    <w:basedOn w:val="DefaultParagraphFont"/>
    <w:uiPriority w:val="22"/>
    <w:qFormat/>
    <w:rsid w:val="005E2A7C"/>
    <w:rPr>
      <w:b/>
      <w:bCs/>
    </w:rPr>
  </w:style>
  <w:style w:type="character" w:styleId="Emphasis">
    <w:name w:val="Emphasis"/>
    <w:basedOn w:val="DefaultParagraphFont"/>
    <w:uiPriority w:val="20"/>
    <w:qFormat/>
    <w:rsid w:val="0020785A"/>
    <w:rPr>
      <w:i/>
      <w:iCs/>
    </w:rPr>
  </w:style>
  <w:style w:type="character" w:customStyle="1" w:styleId="cf01">
    <w:name w:val="cf01"/>
    <w:basedOn w:val="DefaultParagraphFont"/>
    <w:rsid w:val="00894F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332D-5988-4077-864F-14C4A314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6578</Words>
  <Characters>3750</Characters>
  <Application>Microsoft Office Word</Application>
  <DocSecurity>4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Kavaliauskas</dc:creator>
  <cp:keywords/>
  <dc:description/>
  <cp:lastModifiedBy>Greta Stirbytė</cp:lastModifiedBy>
  <cp:revision>2</cp:revision>
  <dcterms:created xsi:type="dcterms:W3CDTF">2026-04-02T11:44:00Z</dcterms:created>
  <dcterms:modified xsi:type="dcterms:W3CDTF">2026-04-02T11:44:00Z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6245d089-3388-4af5-b81e-7993979b4bfc</vt:lpwstr>
  </property>
</Properties>
</file>