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B349A" w14:textId="2C55A546" w:rsidR="0061180B" w:rsidRPr="009F2E16" w:rsidRDefault="0061180B" w:rsidP="0061180B">
      <w:pPr>
        <w:jc w:val="right"/>
        <w:rPr>
          <w:bCs/>
          <w:i/>
          <w:iCs/>
        </w:rPr>
      </w:pPr>
      <w:r w:rsidRPr="001D49EA">
        <w:rPr>
          <w:bCs/>
          <w:i/>
          <w:iCs/>
        </w:rPr>
        <w:t xml:space="preserve">Konkurso sąlygų priedas Nr. </w:t>
      </w:r>
      <w:r>
        <w:rPr>
          <w:bCs/>
          <w:i/>
          <w:iCs/>
        </w:rPr>
        <w:t>2</w:t>
      </w:r>
    </w:p>
    <w:p w14:paraId="4D156CF4" w14:textId="77777777" w:rsidR="00FD1EDC" w:rsidRDefault="00FD1EDC" w:rsidP="00B36E85">
      <w:pPr>
        <w:spacing w:after="0" w:line="240" w:lineRule="auto"/>
        <w:rPr>
          <w:b/>
          <w:szCs w:val="24"/>
        </w:rPr>
      </w:pPr>
    </w:p>
    <w:p w14:paraId="40A3A7DA" w14:textId="77777777" w:rsidR="0061180B" w:rsidRPr="00AB36C8" w:rsidRDefault="0061180B" w:rsidP="00B36E85">
      <w:pPr>
        <w:spacing w:after="0" w:line="240" w:lineRule="auto"/>
        <w:rPr>
          <w:b/>
          <w:szCs w:val="24"/>
        </w:rPr>
      </w:pPr>
    </w:p>
    <w:p w14:paraId="2716D0C9" w14:textId="77777777" w:rsidR="00B36E85" w:rsidRPr="00B36E85" w:rsidRDefault="00B36E85" w:rsidP="00B36E85">
      <w:pPr>
        <w:spacing w:after="0" w:line="240" w:lineRule="auto"/>
        <w:jc w:val="center"/>
        <w:rPr>
          <w:b/>
          <w:bCs/>
          <w:caps/>
          <w:color w:val="000000"/>
          <w:szCs w:val="24"/>
          <w:lang w:eastAsia="en-US"/>
        </w:rPr>
      </w:pPr>
      <w:r w:rsidRPr="00B36E85">
        <w:rPr>
          <w:b/>
          <w:bCs/>
          <w:caps/>
          <w:color w:val="000000"/>
          <w:szCs w:val="24"/>
          <w:lang w:eastAsia="en-US"/>
        </w:rPr>
        <w:t>Videolaringoskopų rinkinys su video bronchoskopu sunkiai</w:t>
      </w:r>
    </w:p>
    <w:p w14:paraId="6DCE0F70" w14:textId="315465F1" w:rsidR="000739FB" w:rsidRDefault="00B36E85" w:rsidP="00B36E85">
      <w:pPr>
        <w:spacing w:after="0" w:line="240" w:lineRule="auto"/>
        <w:jc w:val="center"/>
        <w:rPr>
          <w:b/>
          <w:bCs/>
          <w:caps/>
          <w:color w:val="000000"/>
          <w:szCs w:val="24"/>
          <w:lang w:eastAsia="en-US"/>
        </w:rPr>
      </w:pPr>
      <w:r w:rsidRPr="00B36E85">
        <w:rPr>
          <w:b/>
          <w:bCs/>
          <w:caps/>
          <w:color w:val="000000"/>
          <w:szCs w:val="24"/>
          <w:lang w:eastAsia="en-US"/>
        </w:rPr>
        <w:t>intubacijai</w:t>
      </w:r>
    </w:p>
    <w:p w14:paraId="0220845C" w14:textId="77777777" w:rsidR="00B36E85" w:rsidRPr="00AB36C8" w:rsidRDefault="00B36E85" w:rsidP="00B36E85">
      <w:pPr>
        <w:spacing w:after="0" w:line="240" w:lineRule="auto"/>
        <w:jc w:val="center"/>
        <w:rPr>
          <w:b/>
          <w:caps/>
          <w:szCs w:val="24"/>
        </w:rPr>
      </w:pPr>
    </w:p>
    <w:p w14:paraId="42004A52" w14:textId="77777777" w:rsidR="00FD1EDC" w:rsidRPr="00AB36C8" w:rsidRDefault="00FD1EDC" w:rsidP="00FD1EDC">
      <w:pPr>
        <w:spacing w:after="0" w:line="240" w:lineRule="auto"/>
        <w:jc w:val="center"/>
        <w:rPr>
          <w:b/>
          <w:szCs w:val="24"/>
        </w:rPr>
      </w:pPr>
      <w:r w:rsidRPr="00AB36C8">
        <w:rPr>
          <w:b/>
          <w:szCs w:val="24"/>
        </w:rPr>
        <w:t xml:space="preserve">Techninė specifikacija </w:t>
      </w:r>
    </w:p>
    <w:p w14:paraId="20300568" w14:textId="77777777" w:rsidR="00FD1EDC" w:rsidRPr="00AB36C8" w:rsidRDefault="00FD1EDC" w:rsidP="00FD1EDC">
      <w:pPr>
        <w:spacing w:after="0" w:line="240" w:lineRule="auto"/>
        <w:jc w:val="center"/>
        <w:rPr>
          <w:b/>
          <w:szCs w:val="24"/>
        </w:rPr>
      </w:pPr>
    </w:p>
    <w:p w14:paraId="6D4C238C" w14:textId="77777777" w:rsidR="00FD1EDC" w:rsidRPr="00AB36C8" w:rsidRDefault="00FD1EDC" w:rsidP="00584C1D">
      <w:pPr>
        <w:autoSpaceDN w:val="0"/>
        <w:spacing w:after="0" w:line="240" w:lineRule="auto"/>
        <w:ind w:firstLine="851"/>
        <w:jc w:val="both"/>
        <w:rPr>
          <w:rFonts w:eastAsia="Calibri"/>
          <w:szCs w:val="24"/>
        </w:rPr>
      </w:pPr>
      <w:r w:rsidRPr="00AB36C8">
        <w:rPr>
          <w:rFonts w:eastAsia="Calibri"/>
          <w:szCs w:val="24"/>
        </w:rPr>
        <w:t>1.</w:t>
      </w:r>
      <w:r w:rsidRPr="00AB36C8">
        <w:rPr>
          <w:rFonts w:eastAsia="Calibri"/>
          <w:b/>
          <w:szCs w:val="24"/>
        </w:rPr>
        <w:t xml:space="preserve"> </w:t>
      </w:r>
      <w:r w:rsidRPr="00AB36C8">
        <w:rPr>
          <w:rFonts w:eastAsia="Calibri"/>
          <w:szCs w:val="24"/>
        </w:rPr>
        <w:t xml:space="preserve">Jei techninėje specifikacijoje nurodytas standartas, techninis liudijimas ar bendrosios techninės specifikacijos, tiekėjas gali siūlyti </w:t>
      </w:r>
      <w:r w:rsidRPr="00AB36C8">
        <w:rPr>
          <w:rFonts w:eastAsia="Calibri"/>
          <w:i/>
          <w:szCs w:val="24"/>
        </w:rPr>
        <w:t>lygiaverčius</w:t>
      </w:r>
      <w:r w:rsidRPr="00AB36C8">
        <w:rPr>
          <w:rFonts w:eastAsia="Calibri"/>
          <w:szCs w:val="24"/>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AB36C8">
        <w:rPr>
          <w:rFonts w:eastAsia="Calibri"/>
          <w:i/>
          <w:szCs w:val="24"/>
        </w:rPr>
        <w:t>lygiaverčius</w:t>
      </w:r>
      <w:r w:rsidRPr="00AB36C8">
        <w:rPr>
          <w:rFonts w:eastAsia="Calibri"/>
          <w:szCs w:val="24"/>
        </w:rPr>
        <w:t>.</w:t>
      </w:r>
    </w:p>
    <w:p w14:paraId="56AEE12E" w14:textId="77777777" w:rsidR="00D975E2" w:rsidRPr="00DA403A" w:rsidRDefault="00D975E2" w:rsidP="00584C1D">
      <w:pPr>
        <w:spacing w:after="0"/>
        <w:ind w:firstLine="851"/>
        <w:jc w:val="both"/>
        <w:rPr>
          <w:rFonts w:asciiTheme="majorBidi" w:hAnsiTheme="majorBidi" w:cstheme="majorBidi"/>
          <w:b/>
        </w:rPr>
      </w:pPr>
      <w:r w:rsidRPr="00B77649">
        <w:rPr>
          <w:rFonts w:eastAsia="Calibri"/>
          <w:color w:val="000000"/>
        </w:rPr>
        <w:t xml:space="preserve">2. </w:t>
      </w:r>
      <w:r w:rsidRPr="00DA403A">
        <w:rPr>
          <w:rFonts w:eastAsia="Calibri"/>
          <w:color w:val="000000"/>
        </w:rPr>
        <w:t xml:space="preserve">Tiekėjo siūlomos prekės turi atitikti techninės specifikacijos reikalaujamas charakteristikas. </w:t>
      </w:r>
      <w:r w:rsidRPr="00DA403A">
        <w:rPr>
          <w:rFonts w:asciiTheme="majorBidi" w:hAnsiTheme="majorBidi" w:cstheme="majorBidi"/>
          <w:b/>
        </w:rPr>
        <w:t xml:space="preserve">Tiekėjas turi pateikti pasiūlyme nurodytų parametrų teisingumą įrodančius </w:t>
      </w:r>
      <w:r w:rsidRPr="00DA403A">
        <w:rPr>
          <w:rFonts w:asciiTheme="majorBidi" w:hAnsiTheme="majorBidi" w:cstheme="majorBidi"/>
          <w:b/>
          <w:u w:val="single"/>
        </w:rPr>
        <w:t>prekės gamintojo</w:t>
      </w:r>
      <w:r w:rsidRPr="00DA403A">
        <w:rPr>
          <w:rFonts w:asciiTheme="majorBidi" w:hAnsiTheme="majorBidi" w:cstheme="majorBidi"/>
          <w:b/>
        </w:rPr>
        <w:t xml:space="preserve"> (toliau – gamintojo) </w:t>
      </w:r>
      <w:r w:rsidRPr="00DA403A">
        <w:rPr>
          <w:rFonts w:asciiTheme="majorBidi" w:hAnsiTheme="majorBidi" w:cstheme="majorBidi"/>
          <w:b/>
          <w:u w:val="single"/>
        </w:rPr>
        <w:t>dokumentus</w:t>
      </w:r>
      <w:r w:rsidRPr="00DA403A">
        <w:rPr>
          <w:rFonts w:asciiTheme="majorBidi" w:hAnsiTheme="majorBidi" w:cstheme="majorBidi"/>
          <w:b/>
        </w:rPr>
        <w:t xml:space="preserve"> (katalogus, prospektus ar kitą dokumentaciją su siūlomų prekių aprašymais). </w:t>
      </w:r>
      <w:r w:rsidRPr="00DA403A">
        <w:rPr>
          <w:b/>
          <w:bCs/>
        </w:rPr>
        <w:t>Tais atvejais, kai parametrų atitiktį patvirtinantys gamintojo dokumentai yra pateikti anglų kalba, jų vertimų į lietuvių kalbą kartu su pasiūlymu pateikti neprivaloma. Jei šių dokumentų turinys Perkančiajai organizacijai yra aiškus, vertimai gali būti nereikalaujami. Priešingu atveju, Perkančiosios organizacijos prašymu tiekėjas privalės pateikti vertimus į lietuvių kalbą.</w:t>
      </w:r>
      <w:r w:rsidRPr="00DA403A">
        <w:t xml:space="preserve"> Pateiktame gamintojo dokumente turi būti pažymėta, kurį techninės specifikacijos reikalavimą patvirtina nurodytas parametras. Pasiūlymo formoje (1 priedo grafoje „Siūlomos parametrų reikšmės") turi būti nurodytas gamintojo dokumento puslapis, kuriame yra ši žyma. </w:t>
      </w:r>
      <w:r w:rsidRPr="00DA403A">
        <w:rPr>
          <w:rFonts w:asciiTheme="majorBidi" w:hAnsiTheme="majorBidi" w:cstheme="majorBidi"/>
          <w:b/>
          <w:iCs/>
        </w:rPr>
        <w:t>Pateikiamos skaitmeninės dokumentų kopijos</w:t>
      </w:r>
      <w:r w:rsidRPr="00DA403A">
        <w:rPr>
          <w:rFonts w:asciiTheme="majorBidi" w:hAnsiTheme="majorBidi" w:cstheme="majorBidi"/>
          <w:b/>
        </w:rPr>
        <w:t>.</w:t>
      </w:r>
    </w:p>
    <w:p w14:paraId="6907AC3D" w14:textId="138BACC7" w:rsidR="00D975E2" w:rsidRPr="00DA403A" w:rsidRDefault="00D975E2" w:rsidP="00584C1D">
      <w:pPr>
        <w:spacing w:after="0"/>
        <w:ind w:firstLine="851"/>
        <w:jc w:val="both"/>
      </w:pPr>
      <w:r w:rsidRPr="00DA403A">
        <w:rPr>
          <w:rFonts w:asciiTheme="majorBidi" w:hAnsiTheme="majorBidi" w:cstheme="majorBidi"/>
          <w:b/>
        </w:rPr>
        <w:t>2.1.</w:t>
      </w:r>
      <w:r w:rsidRPr="00DA403A">
        <w:t xml:space="preserve"> Tuo atveju, jeigu pateiktoje gamintojo dokumentacijoje nėra visos reikalaujamos prekės charakteristikas patvirtinančios informacijos, tiekėjas privalo pateikti gamintojo arba jo įgalioto atstovo </w:t>
      </w:r>
      <w:r w:rsidRPr="00DA403A">
        <w:rPr>
          <w:b/>
          <w:bCs/>
        </w:rPr>
        <w:t>(tiekėjo deklaracija nėra lygiavertis dokumentas)</w:t>
      </w:r>
      <w:r w:rsidRPr="00DA403A">
        <w:t xml:space="preserve">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w:t>
      </w:r>
      <w:r w:rsidRPr="00DA403A">
        <w:rPr>
          <w:iCs/>
        </w:rPr>
        <w:t>Pateikiamos skaitmeninės dokumentų kopijos</w:t>
      </w:r>
      <w:r w:rsidRPr="00DA403A">
        <w:t>.</w:t>
      </w:r>
      <w:r w:rsidRPr="00DA403A">
        <w:rPr>
          <w:shd w:val="clear" w:color="auto" w:fill="D9D9D9" w:themeFill="background1" w:themeFillShade="D9"/>
        </w:rPr>
        <w:t xml:space="preserve"> </w:t>
      </w:r>
    </w:p>
    <w:p w14:paraId="2E18BD22" w14:textId="583DF37B" w:rsidR="00D975E2" w:rsidRPr="00B77649" w:rsidRDefault="00D975E2" w:rsidP="00584C1D">
      <w:pPr>
        <w:spacing w:after="0"/>
        <w:ind w:firstLine="709"/>
        <w:jc w:val="both"/>
        <w:rPr>
          <w:b/>
          <w:bCs/>
          <w:u w:val="single"/>
        </w:rPr>
      </w:pPr>
      <w:r w:rsidRPr="00DA403A">
        <w:t xml:space="preserve">3. </w:t>
      </w:r>
      <w:r w:rsidRPr="00E40EC5">
        <w:rPr>
          <w:b/>
          <w:bCs/>
        </w:rPr>
        <w:t>Pirkimo dalyvis kartu su pasiūlymu turi pateikti visus dokumentus įrodančius prekės atitiktį nustatytiems 1-</w:t>
      </w:r>
      <w:r w:rsidR="00F75045" w:rsidRPr="00E40EC5">
        <w:rPr>
          <w:b/>
          <w:bCs/>
        </w:rPr>
        <w:t>8</w:t>
      </w:r>
      <w:r w:rsidRPr="00E40EC5">
        <w:rPr>
          <w:b/>
          <w:bCs/>
        </w:rPr>
        <w:t xml:space="preserve"> techninės specifikacijos </w:t>
      </w:r>
      <w:r w:rsidR="00F75045" w:rsidRPr="00E40EC5">
        <w:rPr>
          <w:b/>
          <w:bCs/>
        </w:rPr>
        <w:t>punktų</w:t>
      </w:r>
      <w:r w:rsidRPr="00E40EC5">
        <w:rPr>
          <w:b/>
          <w:bCs/>
        </w:rPr>
        <w:t xml:space="preserve"> reikalavimams</w:t>
      </w:r>
      <w:r w:rsidRPr="00E40EC5">
        <w:rPr>
          <w:b/>
          <w:bCs/>
          <w:u w:val="single"/>
        </w:rPr>
        <w:t xml:space="preserve">. Atitiktis techninės specifikacijos </w:t>
      </w:r>
      <w:r w:rsidR="00F75045" w:rsidRPr="00E40EC5">
        <w:rPr>
          <w:b/>
          <w:bCs/>
          <w:u w:val="single"/>
        </w:rPr>
        <w:t>9-10</w:t>
      </w:r>
      <w:r w:rsidRPr="00E40EC5">
        <w:rPr>
          <w:b/>
          <w:bCs/>
          <w:u w:val="single"/>
        </w:rPr>
        <w:t xml:space="preserve"> </w:t>
      </w:r>
      <w:r w:rsidR="00F75045" w:rsidRPr="00E40EC5">
        <w:rPr>
          <w:b/>
          <w:bCs/>
          <w:u w:val="single"/>
        </w:rPr>
        <w:t>punktuose</w:t>
      </w:r>
      <w:r w:rsidRPr="00E40EC5">
        <w:rPr>
          <w:b/>
          <w:bCs/>
          <w:u w:val="single"/>
        </w:rPr>
        <w:t xml:space="preserve"> nustatytiems reikalavimams bus tikrinama sutarties vykdymo metu (prekės perdavimo metu).</w:t>
      </w:r>
    </w:p>
    <w:p w14:paraId="6EB4DB42" w14:textId="77777777" w:rsidR="000739FB" w:rsidRPr="00AB36C8" w:rsidRDefault="000739FB" w:rsidP="00584C1D">
      <w:pPr>
        <w:suppressAutoHyphens/>
        <w:spacing w:after="0" w:line="240" w:lineRule="auto"/>
        <w:ind w:firstLine="709"/>
        <w:jc w:val="both"/>
        <w:rPr>
          <w:rFonts w:eastAsia="Arial Unicode MS"/>
          <w:szCs w:val="24"/>
          <w:u w:val="single"/>
        </w:rPr>
      </w:pPr>
    </w:p>
    <w:p w14:paraId="06C71F79" w14:textId="3F59FDDF" w:rsidR="00B36E85" w:rsidRDefault="00FD1EDC" w:rsidP="00584C1D">
      <w:pPr>
        <w:spacing w:after="0"/>
        <w:rPr>
          <w:szCs w:val="24"/>
          <w:u w:val="single"/>
        </w:rPr>
      </w:pPr>
      <w:r w:rsidRPr="00AB36C8">
        <w:rPr>
          <w:szCs w:val="24"/>
        </w:rPr>
        <w:t xml:space="preserve">1 lentelė. </w:t>
      </w:r>
      <w:r w:rsidRPr="00AB36C8">
        <w:rPr>
          <w:szCs w:val="24"/>
          <w:u w:val="single"/>
        </w:rPr>
        <w:t>Privalomieji reikalavimai prekėms:</w:t>
      </w:r>
    </w:p>
    <w:tbl>
      <w:tblPr>
        <w:tblW w:w="9067" w:type="dxa"/>
        <w:tblLook w:val="04A0" w:firstRow="1" w:lastRow="0" w:firstColumn="1" w:lastColumn="0" w:noHBand="0" w:noVBand="1"/>
      </w:tblPr>
      <w:tblGrid>
        <w:gridCol w:w="562"/>
        <w:gridCol w:w="2479"/>
        <w:gridCol w:w="6026"/>
      </w:tblGrid>
      <w:tr w:rsidR="00B36E85" w:rsidRPr="001825BE" w14:paraId="5BE69778" w14:textId="77777777" w:rsidTr="001825BE">
        <w:trPr>
          <w:trHeight w:val="1215"/>
        </w:trPr>
        <w:tc>
          <w:tcPr>
            <w:tcW w:w="5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82969B" w14:textId="77777777" w:rsidR="00B36E85" w:rsidRPr="001825BE" w:rsidRDefault="00B36E85" w:rsidP="001825BE">
            <w:pPr>
              <w:spacing w:after="0" w:line="240" w:lineRule="auto"/>
              <w:jc w:val="center"/>
              <w:rPr>
                <w:rFonts w:asciiTheme="majorBidi" w:hAnsiTheme="majorBidi" w:cstheme="majorBidi"/>
                <w:b/>
                <w:bCs/>
                <w:color w:val="000000"/>
                <w:sz w:val="22"/>
                <w:szCs w:val="22"/>
                <w:lang w:eastAsia="en-US"/>
              </w:rPr>
            </w:pPr>
            <w:r w:rsidRPr="001825BE">
              <w:rPr>
                <w:rFonts w:asciiTheme="majorBidi" w:hAnsiTheme="majorBidi" w:cstheme="majorBidi"/>
                <w:b/>
                <w:bCs/>
                <w:color w:val="000000"/>
                <w:sz w:val="22"/>
                <w:szCs w:val="22"/>
                <w:lang w:eastAsia="en-US"/>
              </w:rPr>
              <w:t>Eil. Nr.</w:t>
            </w:r>
          </w:p>
        </w:tc>
        <w:tc>
          <w:tcPr>
            <w:tcW w:w="2479" w:type="dxa"/>
            <w:tcBorders>
              <w:top w:val="single" w:sz="4" w:space="0" w:color="auto"/>
              <w:left w:val="nil"/>
              <w:bottom w:val="single" w:sz="4" w:space="0" w:color="auto"/>
              <w:right w:val="single" w:sz="4" w:space="0" w:color="auto"/>
            </w:tcBorders>
            <w:shd w:val="clear" w:color="000000" w:fill="D9D9D9"/>
            <w:vAlign w:val="center"/>
            <w:hideMark/>
          </w:tcPr>
          <w:p w14:paraId="70D87393" w14:textId="77777777" w:rsidR="00B36E85" w:rsidRPr="001825BE" w:rsidRDefault="00B36E85" w:rsidP="001825BE">
            <w:pPr>
              <w:spacing w:after="0" w:line="240" w:lineRule="auto"/>
              <w:jc w:val="both"/>
              <w:rPr>
                <w:rFonts w:asciiTheme="majorBidi" w:hAnsiTheme="majorBidi" w:cstheme="majorBidi"/>
                <w:b/>
                <w:bCs/>
                <w:sz w:val="22"/>
                <w:szCs w:val="22"/>
              </w:rPr>
            </w:pPr>
            <w:r w:rsidRPr="001825BE">
              <w:rPr>
                <w:rFonts w:asciiTheme="majorBidi" w:hAnsiTheme="majorBidi" w:cstheme="majorBidi"/>
                <w:b/>
                <w:bCs/>
                <w:sz w:val="22"/>
                <w:szCs w:val="22"/>
              </w:rPr>
              <w:t>Parametrai (specifikacija)</w:t>
            </w:r>
          </w:p>
        </w:tc>
        <w:tc>
          <w:tcPr>
            <w:tcW w:w="6026" w:type="dxa"/>
            <w:tcBorders>
              <w:top w:val="single" w:sz="4" w:space="0" w:color="auto"/>
              <w:left w:val="nil"/>
              <w:bottom w:val="single" w:sz="4" w:space="0" w:color="auto"/>
              <w:right w:val="single" w:sz="4" w:space="0" w:color="auto"/>
            </w:tcBorders>
            <w:shd w:val="clear" w:color="000000" w:fill="D9D9D9"/>
            <w:vAlign w:val="center"/>
            <w:hideMark/>
          </w:tcPr>
          <w:p w14:paraId="3AD6C23E" w14:textId="77777777" w:rsidR="00B36E85" w:rsidRPr="001825BE" w:rsidRDefault="00B36E85" w:rsidP="001825BE">
            <w:pPr>
              <w:spacing w:after="0" w:line="240" w:lineRule="auto"/>
              <w:jc w:val="both"/>
              <w:rPr>
                <w:rFonts w:asciiTheme="majorBidi" w:hAnsiTheme="majorBidi" w:cstheme="majorBidi"/>
                <w:b/>
                <w:color w:val="000000"/>
                <w:sz w:val="22"/>
                <w:szCs w:val="22"/>
              </w:rPr>
            </w:pPr>
            <w:r w:rsidRPr="001825BE">
              <w:rPr>
                <w:rFonts w:asciiTheme="majorBidi" w:hAnsiTheme="majorBidi" w:cstheme="majorBidi"/>
                <w:b/>
                <w:color w:val="000000"/>
                <w:sz w:val="22"/>
                <w:szCs w:val="22"/>
              </w:rPr>
              <w:t>Reikalaujamos parametrų reikšmės</w:t>
            </w:r>
          </w:p>
        </w:tc>
      </w:tr>
      <w:tr w:rsidR="00B36E85" w:rsidRPr="001825BE" w14:paraId="281C9B67" w14:textId="77777777" w:rsidTr="001825BE">
        <w:trPr>
          <w:trHeight w:val="1215"/>
        </w:trPr>
        <w:tc>
          <w:tcPr>
            <w:tcW w:w="562"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84DB35B" w14:textId="77777777" w:rsidR="00B36E85" w:rsidRPr="001825BE" w:rsidRDefault="00B36E85" w:rsidP="001825BE">
            <w:pPr>
              <w:spacing w:after="0" w:line="240" w:lineRule="auto"/>
              <w:jc w:val="center"/>
              <w:rPr>
                <w:rFonts w:asciiTheme="majorBidi" w:hAnsiTheme="majorBidi" w:cstheme="majorBidi"/>
                <w:color w:val="000000"/>
                <w:sz w:val="22"/>
                <w:szCs w:val="22"/>
                <w:lang w:eastAsia="en-US"/>
              </w:rPr>
            </w:pPr>
            <w:r w:rsidRPr="001825BE">
              <w:rPr>
                <w:rFonts w:asciiTheme="majorBidi" w:hAnsiTheme="majorBidi" w:cstheme="majorBidi"/>
                <w:color w:val="000000"/>
                <w:sz w:val="22"/>
                <w:szCs w:val="22"/>
                <w:lang w:eastAsia="en-US"/>
              </w:rPr>
              <w:lastRenderedPageBreak/>
              <w:t>1.</w:t>
            </w:r>
          </w:p>
        </w:tc>
        <w:tc>
          <w:tcPr>
            <w:tcW w:w="2479"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7E67EF5" w14:textId="77777777" w:rsidR="00B36E85" w:rsidRPr="001825BE" w:rsidRDefault="00B36E85" w:rsidP="001825BE">
            <w:pPr>
              <w:spacing w:after="0" w:line="240" w:lineRule="auto"/>
              <w:jc w:val="both"/>
              <w:rPr>
                <w:rFonts w:asciiTheme="majorBidi" w:hAnsiTheme="majorBidi" w:cstheme="majorBidi"/>
                <w:sz w:val="22"/>
                <w:szCs w:val="22"/>
              </w:rPr>
            </w:pPr>
            <w:r w:rsidRPr="001825BE">
              <w:rPr>
                <w:rFonts w:asciiTheme="majorBidi" w:hAnsiTheme="majorBidi" w:cstheme="majorBidi"/>
                <w:sz w:val="22"/>
                <w:szCs w:val="22"/>
              </w:rPr>
              <w:t>Video monitorius – 1 vnt.</w:t>
            </w:r>
          </w:p>
        </w:tc>
        <w:tc>
          <w:tcPr>
            <w:tcW w:w="6026"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0A128C4" w14:textId="77777777" w:rsidR="00B36E85" w:rsidRPr="001825BE" w:rsidRDefault="00B36E85" w:rsidP="001825BE">
            <w:pPr>
              <w:numPr>
                <w:ilvl w:val="0"/>
                <w:numId w:val="4"/>
              </w:numPr>
              <w:spacing w:after="0" w:line="240" w:lineRule="auto"/>
              <w:ind w:left="430" w:hanging="45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Ekrano skersmuo ≥ 8“;</w:t>
            </w:r>
          </w:p>
          <w:p w14:paraId="41A59DAD" w14:textId="77777777" w:rsidR="00B36E85" w:rsidRPr="001825BE" w:rsidRDefault="00B36E85" w:rsidP="001825BE">
            <w:pPr>
              <w:numPr>
                <w:ilvl w:val="0"/>
                <w:numId w:val="4"/>
              </w:numPr>
              <w:spacing w:after="0" w:line="240" w:lineRule="auto"/>
              <w:ind w:left="430" w:hanging="45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Lietimui jautrus arba lygiavertis ekranas;</w:t>
            </w:r>
          </w:p>
          <w:p w14:paraId="099ED1B7" w14:textId="77777777" w:rsidR="00B36E85" w:rsidRPr="001825BE" w:rsidRDefault="00B36E85" w:rsidP="001825BE">
            <w:pPr>
              <w:numPr>
                <w:ilvl w:val="0"/>
                <w:numId w:val="4"/>
              </w:numPr>
              <w:spacing w:after="0" w:line="240" w:lineRule="auto"/>
              <w:ind w:left="430" w:hanging="45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Raiška ≥ (1280 x 800) taškų;</w:t>
            </w:r>
          </w:p>
          <w:p w14:paraId="2CE00C95" w14:textId="77777777" w:rsidR="00B36E85" w:rsidRPr="001825BE" w:rsidRDefault="00B36E85" w:rsidP="001825BE">
            <w:pPr>
              <w:numPr>
                <w:ilvl w:val="0"/>
                <w:numId w:val="4"/>
              </w:numPr>
              <w:spacing w:after="0" w:line="240" w:lineRule="auto"/>
              <w:ind w:left="430" w:hanging="45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 2 jungtys video endoskopų prijungimui;</w:t>
            </w:r>
          </w:p>
          <w:p w14:paraId="2A4F8553" w14:textId="77777777" w:rsidR="00B36E85" w:rsidRPr="001825BE" w:rsidRDefault="00B36E85" w:rsidP="001825BE">
            <w:pPr>
              <w:numPr>
                <w:ilvl w:val="0"/>
                <w:numId w:val="4"/>
              </w:numPr>
              <w:spacing w:after="0" w:line="240" w:lineRule="auto"/>
              <w:ind w:left="430" w:hanging="45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Su HDMI tipo arba lygiaverte jungtimi papildomo monitoriaus pajungimui;</w:t>
            </w:r>
          </w:p>
          <w:p w14:paraId="47BA88C9" w14:textId="77777777" w:rsidR="00B36E85" w:rsidRPr="001825BE" w:rsidRDefault="00B36E85" w:rsidP="001825BE">
            <w:pPr>
              <w:numPr>
                <w:ilvl w:val="0"/>
                <w:numId w:val="4"/>
              </w:numPr>
              <w:spacing w:after="0" w:line="240" w:lineRule="auto"/>
              <w:ind w:left="430" w:hanging="45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Galimybė išsaugoti video vaizdus bei nuotraukas;</w:t>
            </w:r>
          </w:p>
          <w:p w14:paraId="5A1E535F" w14:textId="77777777" w:rsidR="00B36E85" w:rsidRPr="001825BE" w:rsidRDefault="00B36E85" w:rsidP="001825BE">
            <w:pPr>
              <w:numPr>
                <w:ilvl w:val="0"/>
                <w:numId w:val="4"/>
              </w:numPr>
              <w:spacing w:after="0" w:line="240" w:lineRule="auto"/>
              <w:ind w:left="430" w:hanging="45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Galimybė peržiūrėti video vaizdus ir nuotraukas monitoriuje bei perkelti juos į USB tipo arba lygiavertes išorines laikmenas;</w:t>
            </w:r>
          </w:p>
          <w:p w14:paraId="587140DF" w14:textId="77777777" w:rsidR="00B36E85" w:rsidRPr="001825BE" w:rsidRDefault="00B36E85" w:rsidP="001825BE">
            <w:pPr>
              <w:numPr>
                <w:ilvl w:val="0"/>
                <w:numId w:val="4"/>
              </w:numPr>
              <w:spacing w:after="0" w:line="240" w:lineRule="auto"/>
              <w:ind w:left="430" w:hanging="45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Su vidine įkraunama ličio jonų arba lygiaverte baterija;</w:t>
            </w:r>
          </w:p>
          <w:p w14:paraId="0BD2914B" w14:textId="77777777" w:rsidR="00B36E85" w:rsidRPr="001825BE" w:rsidRDefault="00B36E85" w:rsidP="001825BE">
            <w:pPr>
              <w:spacing w:after="0" w:line="240" w:lineRule="auto"/>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Komplekte: laidas videolaringoskopų pajungimui – 1 vnt., laikiklis pritvirtinimui prie stovo – 1 vnt.</w:t>
            </w:r>
          </w:p>
        </w:tc>
      </w:tr>
      <w:tr w:rsidR="00B36E85" w:rsidRPr="001825BE" w14:paraId="48968EF5" w14:textId="77777777" w:rsidTr="001825BE">
        <w:trPr>
          <w:trHeight w:val="1215"/>
        </w:trPr>
        <w:tc>
          <w:tcPr>
            <w:tcW w:w="562"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C8277E3" w14:textId="77777777" w:rsidR="00B36E85" w:rsidRPr="001825BE" w:rsidRDefault="00B36E85" w:rsidP="001825BE">
            <w:pPr>
              <w:spacing w:after="0" w:line="240" w:lineRule="auto"/>
              <w:jc w:val="center"/>
              <w:rPr>
                <w:rFonts w:asciiTheme="majorBidi" w:hAnsiTheme="majorBidi" w:cstheme="majorBidi"/>
                <w:color w:val="000000"/>
                <w:sz w:val="22"/>
                <w:szCs w:val="22"/>
                <w:lang w:eastAsia="en-US"/>
              </w:rPr>
            </w:pPr>
            <w:r w:rsidRPr="001825BE">
              <w:rPr>
                <w:rFonts w:asciiTheme="majorBidi" w:hAnsiTheme="majorBidi" w:cstheme="majorBidi"/>
                <w:color w:val="000000"/>
                <w:sz w:val="22"/>
                <w:szCs w:val="22"/>
                <w:lang w:eastAsia="en-US"/>
              </w:rPr>
              <w:t>2.</w:t>
            </w:r>
          </w:p>
        </w:tc>
        <w:tc>
          <w:tcPr>
            <w:tcW w:w="2479"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43E2584" w14:textId="77777777" w:rsidR="00B36E85" w:rsidRPr="001825BE" w:rsidRDefault="00B36E85" w:rsidP="001825BE">
            <w:pPr>
              <w:spacing w:after="0" w:line="240" w:lineRule="auto"/>
              <w:jc w:val="both"/>
              <w:rPr>
                <w:rFonts w:asciiTheme="majorBidi" w:hAnsiTheme="majorBidi" w:cstheme="majorBidi"/>
                <w:sz w:val="22"/>
                <w:szCs w:val="22"/>
              </w:rPr>
            </w:pPr>
            <w:r w:rsidRPr="001825BE">
              <w:rPr>
                <w:rFonts w:asciiTheme="majorBidi" w:hAnsiTheme="majorBidi" w:cstheme="majorBidi"/>
                <w:sz w:val="22"/>
                <w:szCs w:val="22"/>
              </w:rPr>
              <w:t>Video laringoskopo pleištas - 1 vnt.</w:t>
            </w:r>
          </w:p>
        </w:tc>
        <w:tc>
          <w:tcPr>
            <w:tcW w:w="6026"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F322214" w14:textId="77777777" w:rsidR="00B36E85" w:rsidRPr="001825BE" w:rsidRDefault="00B36E85" w:rsidP="001825BE">
            <w:pPr>
              <w:widowControl w:val="0"/>
              <w:numPr>
                <w:ilvl w:val="0"/>
                <w:numId w:val="5"/>
              </w:numPr>
              <w:suppressLineNumbers/>
              <w:suppressAutoHyphens/>
              <w:snapToGrid w:val="0"/>
              <w:spacing w:after="0" w:line="240" w:lineRule="auto"/>
              <w:ind w:left="430" w:hanging="43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Macintosh arba lygiaverčio tipo 4 dydžio pleištas;</w:t>
            </w:r>
          </w:p>
          <w:p w14:paraId="01522D0A" w14:textId="77777777" w:rsidR="00B36E85" w:rsidRPr="001825BE" w:rsidRDefault="00B36E85" w:rsidP="001825BE">
            <w:pPr>
              <w:widowControl w:val="0"/>
              <w:numPr>
                <w:ilvl w:val="0"/>
                <w:numId w:val="5"/>
              </w:numPr>
              <w:suppressLineNumbers/>
              <w:suppressAutoHyphens/>
              <w:snapToGrid w:val="0"/>
              <w:spacing w:after="0" w:line="240" w:lineRule="auto"/>
              <w:ind w:left="430" w:hanging="43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Su šviesos diodų (LED) arba lygiaverčiu apšvietimu;</w:t>
            </w:r>
          </w:p>
        </w:tc>
      </w:tr>
      <w:tr w:rsidR="00B36E85" w:rsidRPr="001825BE" w14:paraId="2E74F844" w14:textId="77777777" w:rsidTr="001825BE">
        <w:trPr>
          <w:trHeight w:val="1215"/>
        </w:trPr>
        <w:tc>
          <w:tcPr>
            <w:tcW w:w="562"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2F71AEE" w14:textId="77777777" w:rsidR="00B36E85" w:rsidRPr="001825BE" w:rsidRDefault="00B36E85" w:rsidP="001825BE">
            <w:pPr>
              <w:spacing w:after="0" w:line="240" w:lineRule="auto"/>
              <w:jc w:val="center"/>
              <w:rPr>
                <w:rFonts w:asciiTheme="majorBidi" w:hAnsiTheme="majorBidi" w:cstheme="majorBidi"/>
                <w:color w:val="000000"/>
                <w:sz w:val="22"/>
                <w:szCs w:val="22"/>
                <w:lang w:eastAsia="en-US"/>
              </w:rPr>
            </w:pPr>
            <w:r w:rsidRPr="001825BE">
              <w:rPr>
                <w:rFonts w:asciiTheme="majorBidi" w:hAnsiTheme="majorBidi" w:cstheme="majorBidi"/>
                <w:color w:val="000000"/>
                <w:sz w:val="22"/>
                <w:szCs w:val="22"/>
                <w:lang w:eastAsia="en-US"/>
              </w:rPr>
              <w:t>3.</w:t>
            </w:r>
          </w:p>
        </w:tc>
        <w:tc>
          <w:tcPr>
            <w:tcW w:w="2479"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CD0FE2A" w14:textId="77777777" w:rsidR="00B36E85" w:rsidRPr="001825BE" w:rsidRDefault="00B36E85" w:rsidP="001825BE">
            <w:pPr>
              <w:spacing w:after="0" w:line="240" w:lineRule="auto"/>
              <w:jc w:val="both"/>
              <w:rPr>
                <w:rFonts w:asciiTheme="majorBidi" w:hAnsiTheme="majorBidi" w:cstheme="majorBidi"/>
                <w:sz w:val="22"/>
                <w:szCs w:val="22"/>
              </w:rPr>
            </w:pPr>
            <w:r w:rsidRPr="001825BE">
              <w:rPr>
                <w:rFonts w:asciiTheme="majorBidi" w:hAnsiTheme="majorBidi" w:cstheme="majorBidi"/>
                <w:sz w:val="22"/>
                <w:szCs w:val="22"/>
              </w:rPr>
              <w:t>Video laringoskopo pleištas - 1 vnt.</w:t>
            </w:r>
          </w:p>
        </w:tc>
        <w:tc>
          <w:tcPr>
            <w:tcW w:w="6026"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8B38C11" w14:textId="77777777" w:rsidR="00B36E85" w:rsidRPr="001825BE" w:rsidRDefault="00B36E85" w:rsidP="001825BE">
            <w:pPr>
              <w:widowControl w:val="0"/>
              <w:numPr>
                <w:ilvl w:val="0"/>
                <w:numId w:val="6"/>
              </w:numPr>
              <w:suppressLineNumbers/>
              <w:suppressAutoHyphens/>
              <w:snapToGrid w:val="0"/>
              <w:spacing w:after="0" w:line="240" w:lineRule="auto"/>
              <w:ind w:left="430" w:hanging="43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Macintosh arba lygiaverčio tipo 3 dydžio pleištas;</w:t>
            </w:r>
          </w:p>
          <w:p w14:paraId="0B1136EE" w14:textId="77777777" w:rsidR="00B36E85" w:rsidRPr="001825BE" w:rsidRDefault="00B36E85" w:rsidP="001825BE">
            <w:pPr>
              <w:widowControl w:val="0"/>
              <w:numPr>
                <w:ilvl w:val="0"/>
                <w:numId w:val="6"/>
              </w:numPr>
              <w:suppressLineNumbers/>
              <w:suppressAutoHyphens/>
              <w:snapToGrid w:val="0"/>
              <w:spacing w:after="0" w:line="240" w:lineRule="auto"/>
              <w:ind w:left="430" w:hanging="43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Su šviesos diodų (LED) arba lygiaverčiu apšvietimu;</w:t>
            </w:r>
          </w:p>
        </w:tc>
      </w:tr>
      <w:tr w:rsidR="00B36E85" w:rsidRPr="001825BE" w14:paraId="56A9DB1D" w14:textId="77777777" w:rsidTr="001825BE">
        <w:trPr>
          <w:trHeight w:val="1215"/>
        </w:trPr>
        <w:tc>
          <w:tcPr>
            <w:tcW w:w="562"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8651E32" w14:textId="77777777" w:rsidR="00B36E85" w:rsidRPr="001825BE" w:rsidRDefault="00B36E85" w:rsidP="001825BE">
            <w:pPr>
              <w:spacing w:after="0" w:line="240" w:lineRule="auto"/>
              <w:jc w:val="center"/>
              <w:rPr>
                <w:rFonts w:asciiTheme="majorBidi" w:hAnsiTheme="majorBidi" w:cstheme="majorBidi"/>
                <w:color w:val="000000"/>
                <w:sz w:val="22"/>
                <w:szCs w:val="22"/>
                <w:lang w:eastAsia="en-US"/>
              </w:rPr>
            </w:pPr>
            <w:r w:rsidRPr="001825BE">
              <w:rPr>
                <w:rFonts w:asciiTheme="majorBidi" w:hAnsiTheme="majorBidi" w:cstheme="majorBidi"/>
                <w:color w:val="000000"/>
                <w:sz w:val="22"/>
                <w:szCs w:val="22"/>
                <w:lang w:eastAsia="en-US"/>
              </w:rPr>
              <w:t>4.</w:t>
            </w:r>
          </w:p>
        </w:tc>
        <w:tc>
          <w:tcPr>
            <w:tcW w:w="2479"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A4447AB" w14:textId="77777777" w:rsidR="00B36E85" w:rsidRPr="001825BE" w:rsidRDefault="00B36E85" w:rsidP="001825BE">
            <w:pPr>
              <w:spacing w:after="0" w:line="240" w:lineRule="auto"/>
              <w:jc w:val="both"/>
              <w:rPr>
                <w:rFonts w:asciiTheme="majorBidi" w:hAnsiTheme="majorBidi" w:cstheme="majorBidi"/>
                <w:sz w:val="22"/>
                <w:szCs w:val="22"/>
              </w:rPr>
            </w:pPr>
            <w:r w:rsidRPr="001825BE">
              <w:rPr>
                <w:rFonts w:asciiTheme="majorBidi" w:hAnsiTheme="majorBidi" w:cstheme="majorBidi"/>
                <w:sz w:val="22"/>
                <w:szCs w:val="22"/>
              </w:rPr>
              <w:t>Video laringoskopo pleištas apsunkintai intubacijai - 1 vnt.</w:t>
            </w:r>
          </w:p>
        </w:tc>
        <w:tc>
          <w:tcPr>
            <w:tcW w:w="6026"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87E4D5A" w14:textId="77777777" w:rsidR="00B36E85" w:rsidRPr="001825BE" w:rsidRDefault="00B36E85" w:rsidP="001825BE">
            <w:pPr>
              <w:widowControl w:val="0"/>
              <w:numPr>
                <w:ilvl w:val="0"/>
                <w:numId w:val="7"/>
              </w:numPr>
              <w:suppressLineNumbers/>
              <w:suppressAutoHyphens/>
              <w:snapToGrid w:val="0"/>
              <w:spacing w:after="0" w:line="240" w:lineRule="auto"/>
              <w:ind w:left="430" w:hanging="43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D-Blade arba lygiaverčio tipo pleištas apsunkintai intubacijai;</w:t>
            </w:r>
          </w:p>
          <w:p w14:paraId="506A548E" w14:textId="77777777" w:rsidR="00B36E85" w:rsidRPr="001825BE" w:rsidRDefault="00B36E85" w:rsidP="001825BE">
            <w:pPr>
              <w:widowControl w:val="0"/>
              <w:numPr>
                <w:ilvl w:val="0"/>
                <w:numId w:val="7"/>
              </w:numPr>
              <w:suppressLineNumbers/>
              <w:suppressAutoHyphens/>
              <w:snapToGrid w:val="0"/>
              <w:spacing w:after="0" w:line="240" w:lineRule="auto"/>
              <w:ind w:left="430" w:hanging="43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Su šviesos diodų (LED) arba lygiaverčiu apšvietimu;</w:t>
            </w:r>
          </w:p>
          <w:p w14:paraId="1A3AA3C7" w14:textId="77777777" w:rsidR="00B36E85" w:rsidRPr="001825BE" w:rsidRDefault="00B36E85" w:rsidP="001825BE">
            <w:pPr>
              <w:spacing w:after="0" w:line="240" w:lineRule="auto"/>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Komplekte: nerūdijančio plieno arba lygiavertės medžiagos pravedėjas – 10 vnt.</w:t>
            </w:r>
          </w:p>
        </w:tc>
      </w:tr>
      <w:tr w:rsidR="00B36E85" w:rsidRPr="001825BE" w14:paraId="2CBA5052" w14:textId="77777777" w:rsidTr="001825BE">
        <w:trPr>
          <w:trHeight w:val="1215"/>
        </w:trPr>
        <w:tc>
          <w:tcPr>
            <w:tcW w:w="562"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47CEDC" w14:textId="77777777" w:rsidR="00B36E85" w:rsidRPr="001825BE" w:rsidRDefault="00B36E85" w:rsidP="001825BE">
            <w:pPr>
              <w:spacing w:after="0" w:line="240" w:lineRule="auto"/>
              <w:jc w:val="center"/>
              <w:rPr>
                <w:rFonts w:asciiTheme="majorBidi" w:hAnsiTheme="majorBidi" w:cstheme="majorBidi"/>
                <w:color w:val="000000"/>
                <w:sz w:val="22"/>
                <w:szCs w:val="22"/>
                <w:lang w:eastAsia="en-US"/>
              </w:rPr>
            </w:pPr>
            <w:r w:rsidRPr="001825BE">
              <w:rPr>
                <w:rFonts w:asciiTheme="majorBidi" w:hAnsiTheme="majorBidi" w:cstheme="majorBidi"/>
                <w:color w:val="000000"/>
                <w:sz w:val="22"/>
                <w:szCs w:val="22"/>
                <w:lang w:eastAsia="en-US"/>
              </w:rPr>
              <w:t>5.</w:t>
            </w:r>
          </w:p>
        </w:tc>
        <w:tc>
          <w:tcPr>
            <w:tcW w:w="2479"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6D7BA44" w14:textId="77777777" w:rsidR="00B36E85" w:rsidRPr="001825BE" w:rsidRDefault="00B36E85" w:rsidP="001825BE">
            <w:pPr>
              <w:spacing w:after="0" w:line="240" w:lineRule="auto"/>
              <w:jc w:val="both"/>
              <w:rPr>
                <w:rFonts w:asciiTheme="majorBidi" w:hAnsiTheme="majorBidi" w:cstheme="majorBidi"/>
                <w:sz w:val="22"/>
                <w:szCs w:val="22"/>
              </w:rPr>
            </w:pPr>
            <w:r w:rsidRPr="001825BE">
              <w:rPr>
                <w:rFonts w:asciiTheme="majorBidi" w:hAnsiTheme="majorBidi" w:cstheme="majorBidi"/>
                <w:sz w:val="22"/>
                <w:szCs w:val="22"/>
              </w:rPr>
              <w:t xml:space="preserve">Lankstus videoendoskopas – 1 vnt. </w:t>
            </w:r>
          </w:p>
        </w:tc>
        <w:tc>
          <w:tcPr>
            <w:tcW w:w="6026"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D11B592" w14:textId="77777777" w:rsidR="00B36E85" w:rsidRPr="001825BE" w:rsidRDefault="00B36E85" w:rsidP="001825BE">
            <w:pPr>
              <w:widowControl w:val="0"/>
              <w:numPr>
                <w:ilvl w:val="0"/>
                <w:numId w:val="3"/>
              </w:numPr>
              <w:suppressLineNumbers/>
              <w:suppressAutoHyphens/>
              <w:snapToGrid w:val="0"/>
              <w:spacing w:after="0" w:line="240" w:lineRule="auto"/>
              <w:ind w:left="430" w:hanging="45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Techniškai suderinamas su p. 1 monitoriumi.</w:t>
            </w:r>
          </w:p>
          <w:p w14:paraId="1B6F66FA" w14:textId="77777777" w:rsidR="00B36E85" w:rsidRPr="001825BE" w:rsidRDefault="00B36E85" w:rsidP="001825BE">
            <w:pPr>
              <w:widowControl w:val="0"/>
              <w:numPr>
                <w:ilvl w:val="0"/>
                <w:numId w:val="3"/>
              </w:numPr>
              <w:suppressLineNumbers/>
              <w:suppressAutoHyphens/>
              <w:snapToGrid w:val="0"/>
              <w:spacing w:after="0" w:line="240" w:lineRule="auto"/>
              <w:ind w:left="430" w:hanging="45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Matymo kryptis 0</w:t>
            </w:r>
            <w:r w:rsidRPr="001825BE">
              <w:rPr>
                <w:rFonts w:asciiTheme="majorBidi" w:hAnsiTheme="majorBidi" w:cstheme="majorBidi"/>
                <w:color w:val="000000"/>
                <w:sz w:val="22"/>
                <w:szCs w:val="22"/>
              </w:rPr>
              <w:sym w:font="Symbol" w:char="F0B0"/>
            </w:r>
            <w:r w:rsidRPr="001825BE">
              <w:rPr>
                <w:rFonts w:asciiTheme="majorBidi" w:hAnsiTheme="majorBidi" w:cstheme="majorBidi"/>
                <w:color w:val="000000"/>
                <w:sz w:val="22"/>
                <w:szCs w:val="22"/>
              </w:rPr>
              <w:t xml:space="preserve"> ± 10</w:t>
            </w:r>
            <w:r w:rsidRPr="001825BE">
              <w:rPr>
                <w:rFonts w:asciiTheme="majorBidi" w:hAnsiTheme="majorBidi" w:cstheme="majorBidi"/>
                <w:color w:val="000000"/>
                <w:sz w:val="22"/>
                <w:szCs w:val="22"/>
              </w:rPr>
              <w:sym w:font="Symbol" w:char="F0B0"/>
            </w:r>
            <w:r w:rsidRPr="001825BE">
              <w:rPr>
                <w:rFonts w:asciiTheme="majorBidi" w:hAnsiTheme="majorBidi" w:cstheme="majorBidi"/>
                <w:color w:val="000000"/>
                <w:sz w:val="22"/>
                <w:szCs w:val="22"/>
              </w:rPr>
              <w:t>;</w:t>
            </w:r>
          </w:p>
          <w:p w14:paraId="1BCE3C7F" w14:textId="77777777" w:rsidR="00B36E85" w:rsidRPr="001825BE" w:rsidRDefault="00B36E85" w:rsidP="001825BE">
            <w:pPr>
              <w:widowControl w:val="0"/>
              <w:numPr>
                <w:ilvl w:val="0"/>
                <w:numId w:val="3"/>
              </w:numPr>
              <w:suppressLineNumbers/>
              <w:suppressAutoHyphens/>
              <w:snapToGrid w:val="0"/>
              <w:spacing w:after="0" w:line="240" w:lineRule="auto"/>
              <w:ind w:left="430" w:hanging="45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Matymo kampas 115</w:t>
            </w:r>
            <w:r w:rsidRPr="001825BE">
              <w:rPr>
                <w:rFonts w:asciiTheme="majorBidi" w:hAnsiTheme="majorBidi" w:cstheme="majorBidi"/>
                <w:color w:val="000000"/>
                <w:sz w:val="22"/>
                <w:szCs w:val="22"/>
              </w:rPr>
              <w:sym w:font="Symbol" w:char="F0B0"/>
            </w:r>
            <w:r w:rsidRPr="001825BE">
              <w:rPr>
                <w:rFonts w:asciiTheme="majorBidi" w:hAnsiTheme="majorBidi" w:cstheme="majorBidi"/>
                <w:color w:val="000000"/>
                <w:sz w:val="22"/>
                <w:szCs w:val="22"/>
              </w:rPr>
              <w:t xml:space="preserve"> ± 15</w:t>
            </w:r>
            <w:r w:rsidRPr="001825BE">
              <w:rPr>
                <w:rFonts w:asciiTheme="majorBidi" w:hAnsiTheme="majorBidi" w:cstheme="majorBidi"/>
                <w:color w:val="000000"/>
                <w:sz w:val="22"/>
                <w:szCs w:val="22"/>
              </w:rPr>
              <w:sym w:font="Symbol" w:char="F0B0"/>
            </w:r>
            <w:r w:rsidRPr="001825BE">
              <w:rPr>
                <w:rFonts w:asciiTheme="majorBidi" w:hAnsiTheme="majorBidi" w:cstheme="majorBidi"/>
                <w:color w:val="000000"/>
                <w:sz w:val="22"/>
                <w:szCs w:val="22"/>
              </w:rPr>
              <w:t>;</w:t>
            </w:r>
          </w:p>
          <w:p w14:paraId="51F3860A" w14:textId="77777777" w:rsidR="00B36E85" w:rsidRPr="001825BE" w:rsidRDefault="00B36E85" w:rsidP="001825BE">
            <w:pPr>
              <w:widowControl w:val="0"/>
              <w:numPr>
                <w:ilvl w:val="0"/>
                <w:numId w:val="3"/>
              </w:numPr>
              <w:suppressLineNumbers/>
              <w:suppressAutoHyphens/>
              <w:snapToGrid w:val="0"/>
              <w:spacing w:after="0" w:line="240" w:lineRule="auto"/>
              <w:ind w:left="430" w:hanging="45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Darbinis ilgis ≥ 60 cm;</w:t>
            </w:r>
          </w:p>
          <w:p w14:paraId="066A066D" w14:textId="77777777" w:rsidR="00B36E85" w:rsidRPr="001825BE" w:rsidRDefault="00B36E85" w:rsidP="001825BE">
            <w:pPr>
              <w:widowControl w:val="0"/>
              <w:numPr>
                <w:ilvl w:val="0"/>
                <w:numId w:val="3"/>
              </w:numPr>
              <w:suppressLineNumbers/>
              <w:suppressAutoHyphens/>
              <w:snapToGrid w:val="0"/>
              <w:spacing w:after="0" w:line="240" w:lineRule="auto"/>
              <w:ind w:left="430" w:hanging="45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Išorinis skersmuo 3,7 mm ± 0,6 mm;</w:t>
            </w:r>
          </w:p>
          <w:p w14:paraId="2C854071" w14:textId="77777777" w:rsidR="00B36E85" w:rsidRPr="001825BE" w:rsidRDefault="00B36E85" w:rsidP="001825BE">
            <w:pPr>
              <w:widowControl w:val="0"/>
              <w:numPr>
                <w:ilvl w:val="0"/>
                <w:numId w:val="3"/>
              </w:numPr>
              <w:suppressLineNumbers/>
              <w:suppressAutoHyphens/>
              <w:snapToGrid w:val="0"/>
              <w:spacing w:after="0" w:line="240" w:lineRule="auto"/>
              <w:ind w:left="430" w:hanging="45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Darbinio kanalo skersmuo 1,5 mm ± 0,5 mm;</w:t>
            </w:r>
          </w:p>
          <w:p w14:paraId="0F05F569" w14:textId="77777777" w:rsidR="00B36E85" w:rsidRPr="001825BE" w:rsidRDefault="00B36E85" w:rsidP="001825BE">
            <w:pPr>
              <w:widowControl w:val="0"/>
              <w:numPr>
                <w:ilvl w:val="0"/>
                <w:numId w:val="3"/>
              </w:numPr>
              <w:suppressLineNumbers/>
              <w:suppressAutoHyphens/>
              <w:snapToGrid w:val="0"/>
              <w:spacing w:after="0" w:line="240" w:lineRule="auto"/>
              <w:ind w:left="430" w:hanging="45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Lenkimasis aukštyn/žemyn: (≥140° / ≥140°);</w:t>
            </w:r>
          </w:p>
          <w:p w14:paraId="72A4861F" w14:textId="77777777" w:rsidR="00B36E85" w:rsidRPr="001825BE" w:rsidRDefault="00B36E85" w:rsidP="001825BE">
            <w:pPr>
              <w:spacing w:after="0" w:line="240" w:lineRule="auto"/>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Komplekte: lagaminas arba lygiavertė pakuotė laikymui/transportavimui - 1 vnt., sandarumo matuoklis - 1 vnt., dangtelis slėgių suvienodinimui - 1 vnt., konteineris endoskopo laikymui – 1 vnt.</w:t>
            </w:r>
          </w:p>
        </w:tc>
      </w:tr>
      <w:tr w:rsidR="00B36E85" w:rsidRPr="001825BE" w14:paraId="1EAD9C47" w14:textId="77777777" w:rsidTr="001825BE">
        <w:trPr>
          <w:trHeight w:val="1215"/>
        </w:trPr>
        <w:tc>
          <w:tcPr>
            <w:tcW w:w="562"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2A8136A" w14:textId="77777777" w:rsidR="00B36E85" w:rsidRPr="001825BE" w:rsidRDefault="00B36E85" w:rsidP="001825BE">
            <w:pPr>
              <w:spacing w:after="0" w:line="240" w:lineRule="auto"/>
              <w:jc w:val="center"/>
              <w:rPr>
                <w:rFonts w:asciiTheme="majorBidi" w:hAnsiTheme="majorBidi" w:cstheme="majorBidi"/>
                <w:color w:val="000000"/>
                <w:sz w:val="22"/>
                <w:szCs w:val="22"/>
                <w:lang w:eastAsia="en-US"/>
              </w:rPr>
            </w:pPr>
            <w:r w:rsidRPr="001825BE">
              <w:rPr>
                <w:rFonts w:asciiTheme="majorBidi" w:hAnsiTheme="majorBidi" w:cstheme="majorBidi"/>
                <w:color w:val="000000"/>
                <w:sz w:val="22"/>
                <w:szCs w:val="22"/>
                <w:lang w:eastAsia="en-US"/>
              </w:rPr>
              <w:t>6.</w:t>
            </w:r>
          </w:p>
        </w:tc>
        <w:tc>
          <w:tcPr>
            <w:tcW w:w="2479"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4FD70C6" w14:textId="77777777" w:rsidR="00B36E85" w:rsidRPr="001825BE" w:rsidRDefault="00B36E85" w:rsidP="001825BE">
            <w:pPr>
              <w:spacing w:after="0" w:line="240" w:lineRule="auto"/>
              <w:jc w:val="both"/>
              <w:rPr>
                <w:rFonts w:asciiTheme="majorBidi" w:hAnsiTheme="majorBidi" w:cstheme="majorBidi"/>
                <w:sz w:val="22"/>
                <w:szCs w:val="22"/>
              </w:rPr>
            </w:pPr>
            <w:r w:rsidRPr="001825BE">
              <w:rPr>
                <w:rFonts w:asciiTheme="majorBidi" w:hAnsiTheme="majorBidi" w:cstheme="majorBidi"/>
                <w:sz w:val="22"/>
                <w:szCs w:val="22"/>
              </w:rPr>
              <w:t>Stovas</w:t>
            </w:r>
          </w:p>
        </w:tc>
        <w:tc>
          <w:tcPr>
            <w:tcW w:w="6026"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9DC164E" w14:textId="77777777" w:rsidR="00B36E85" w:rsidRPr="001825BE" w:rsidRDefault="00B36E85" w:rsidP="001825BE">
            <w:pPr>
              <w:numPr>
                <w:ilvl w:val="0"/>
                <w:numId w:val="8"/>
              </w:numPr>
              <w:spacing w:after="0" w:line="240" w:lineRule="auto"/>
              <w:ind w:left="430" w:hanging="43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Pritaikytas pritvirtinti 1 p. aprašytą monitorių;</w:t>
            </w:r>
          </w:p>
          <w:p w14:paraId="5B50658C" w14:textId="77777777" w:rsidR="00B36E85" w:rsidRPr="001825BE" w:rsidRDefault="00B36E85" w:rsidP="001825BE">
            <w:pPr>
              <w:numPr>
                <w:ilvl w:val="0"/>
                <w:numId w:val="8"/>
              </w:numPr>
              <w:spacing w:after="0" w:line="240" w:lineRule="auto"/>
              <w:ind w:left="430" w:hanging="43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Aukštis ≥ 120 cm;</w:t>
            </w:r>
          </w:p>
          <w:p w14:paraId="365497C9" w14:textId="77777777" w:rsidR="00B36E85" w:rsidRPr="001825BE" w:rsidRDefault="00B36E85" w:rsidP="001825BE">
            <w:pPr>
              <w:numPr>
                <w:ilvl w:val="0"/>
                <w:numId w:val="8"/>
              </w:numPr>
              <w:spacing w:after="0" w:line="240" w:lineRule="auto"/>
              <w:ind w:left="430" w:hanging="43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 xml:space="preserve">Su ≥ 4 ratukais; </w:t>
            </w:r>
          </w:p>
          <w:p w14:paraId="664FCA7E" w14:textId="77777777" w:rsidR="00B36E85" w:rsidRPr="001825BE" w:rsidRDefault="00B36E85" w:rsidP="001825BE">
            <w:pPr>
              <w:numPr>
                <w:ilvl w:val="0"/>
                <w:numId w:val="8"/>
              </w:numPr>
              <w:spacing w:after="0" w:line="240" w:lineRule="auto"/>
              <w:ind w:left="430" w:hanging="43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Su laikikliu videolaringoskopo pleištams sudėti;</w:t>
            </w:r>
          </w:p>
          <w:p w14:paraId="1E1820C3" w14:textId="77777777" w:rsidR="00B36E85" w:rsidRPr="001825BE" w:rsidRDefault="00B36E85" w:rsidP="001825BE">
            <w:pPr>
              <w:numPr>
                <w:ilvl w:val="0"/>
                <w:numId w:val="8"/>
              </w:numPr>
              <w:spacing w:after="0" w:line="240" w:lineRule="auto"/>
              <w:ind w:left="430" w:hanging="430"/>
              <w:jc w:val="both"/>
              <w:rPr>
                <w:rFonts w:asciiTheme="majorBidi" w:hAnsiTheme="majorBidi" w:cstheme="majorBidi"/>
                <w:color w:val="000000"/>
                <w:sz w:val="22"/>
                <w:szCs w:val="22"/>
              </w:rPr>
            </w:pPr>
            <w:r w:rsidRPr="001825BE">
              <w:rPr>
                <w:rFonts w:asciiTheme="majorBidi" w:hAnsiTheme="majorBidi" w:cstheme="majorBidi"/>
                <w:color w:val="000000"/>
                <w:sz w:val="22"/>
                <w:szCs w:val="22"/>
              </w:rPr>
              <w:t>Su laikikliu lanksčiam videoendoskopui.</w:t>
            </w:r>
          </w:p>
        </w:tc>
      </w:tr>
      <w:tr w:rsidR="00B36E85" w:rsidRPr="001825BE" w14:paraId="26251373" w14:textId="77777777" w:rsidTr="001825BE">
        <w:trPr>
          <w:trHeight w:val="1215"/>
        </w:trPr>
        <w:tc>
          <w:tcPr>
            <w:tcW w:w="562"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99C7F20" w14:textId="49905559" w:rsidR="00B36E85" w:rsidRPr="001825BE" w:rsidRDefault="00B36E85" w:rsidP="001825BE">
            <w:pPr>
              <w:spacing w:after="0" w:line="240" w:lineRule="auto"/>
              <w:jc w:val="center"/>
              <w:rPr>
                <w:rFonts w:asciiTheme="majorBidi" w:hAnsiTheme="majorBidi" w:cstheme="majorBidi"/>
                <w:color w:val="000000"/>
                <w:sz w:val="22"/>
                <w:szCs w:val="22"/>
                <w:lang w:eastAsia="en-US"/>
              </w:rPr>
            </w:pPr>
            <w:r w:rsidRPr="001825BE">
              <w:rPr>
                <w:rFonts w:asciiTheme="majorBidi" w:hAnsiTheme="majorBidi" w:cstheme="majorBidi"/>
                <w:color w:val="000000"/>
                <w:sz w:val="22"/>
                <w:szCs w:val="22"/>
                <w:lang w:eastAsia="en-US"/>
              </w:rPr>
              <w:t>7.</w:t>
            </w:r>
          </w:p>
        </w:tc>
        <w:tc>
          <w:tcPr>
            <w:tcW w:w="2479" w:type="dxa"/>
            <w:tcBorders>
              <w:top w:val="single" w:sz="4" w:space="0" w:color="auto"/>
              <w:left w:val="nil"/>
              <w:bottom w:val="single" w:sz="4" w:space="0" w:color="auto"/>
              <w:right w:val="single" w:sz="4" w:space="0" w:color="auto"/>
            </w:tcBorders>
            <w:shd w:val="clear" w:color="000000" w:fill="FFFFFF" w:themeFill="background1"/>
            <w:vAlign w:val="center"/>
          </w:tcPr>
          <w:p w14:paraId="03C5F008" w14:textId="19810118" w:rsidR="00B36E85" w:rsidRPr="001825BE" w:rsidRDefault="00E01646" w:rsidP="001825BE">
            <w:pPr>
              <w:spacing w:after="0" w:line="240" w:lineRule="auto"/>
              <w:jc w:val="both"/>
              <w:rPr>
                <w:rFonts w:asciiTheme="majorBidi" w:hAnsiTheme="majorBidi" w:cstheme="majorBidi"/>
                <w:b/>
                <w:bCs/>
                <w:sz w:val="22"/>
                <w:szCs w:val="22"/>
              </w:rPr>
            </w:pPr>
            <w:r w:rsidRPr="001825BE">
              <w:rPr>
                <w:rFonts w:asciiTheme="majorBidi" w:hAnsiTheme="majorBidi" w:cstheme="majorBidi"/>
                <w:sz w:val="22"/>
                <w:szCs w:val="22"/>
                <w:lang w:val="pt-BR"/>
              </w:rPr>
              <w:t xml:space="preserve">Siūlomas medicinos prietaisas turi būti pažymėtas CE ženklu ir atitikti Reglamento (ES) 2017/745 (MDR) reikalavimus. Kartu su pasiūlymu turi būti pateikti prietaiso CE atitiktį patvirtinantys dokumentai, įskaitant notifikuotosios įstaigos </w:t>
            </w:r>
            <w:r w:rsidRPr="001825BE">
              <w:rPr>
                <w:rFonts w:asciiTheme="majorBidi" w:hAnsiTheme="majorBidi" w:cstheme="majorBidi"/>
                <w:sz w:val="22"/>
                <w:szCs w:val="22"/>
                <w:lang w:val="pt-BR"/>
              </w:rPr>
              <w:lastRenderedPageBreak/>
              <w:t>išduotą sertifikatą, kai jis pagal taikomą klasę yra privalomas, ir nurodytas notifikuotosios įstaigos identifikavimo numeris</w:t>
            </w:r>
          </w:p>
        </w:tc>
        <w:tc>
          <w:tcPr>
            <w:tcW w:w="6026" w:type="dxa"/>
            <w:tcBorders>
              <w:top w:val="single" w:sz="4" w:space="0" w:color="auto"/>
              <w:left w:val="nil"/>
              <w:bottom w:val="single" w:sz="4" w:space="0" w:color="auto"/>
              <w:right w:val="single" w:sz="4" w:space="0" w:color="auto"/>
            </w:tcBorders>
            <w:shd w:val="clear" w:color="000000" w:fill="FFFFFF" w:themeFill="background1"/>
            <w:vAlign w:val="center"/>
          </w:tcPr>
          <w:p w14:paraId="5B960AB1" w14:textId="6493AB75" w:rsidR="00B36E85" w:rsidRPr="001825BE" w:rsidRDefault="00E01646" w:rsidP="001825BE">
            <w:pPr>
              <w:spacing w:after="0" w:line="240" w:lineRule="auto"/>
              <w:ind w:left="430"/>
              <w:jc w:val="both"/>
              <w:rPr>
                <w:rFonts w:asciiTheme="majorBidi" w:hAnsiTheme="majorBidi" w:cstheme="majorBidi"/>
                <w:b/>
                <w:color w:val="000000"/>
                <w:sz w:val="22"/>
                <w:szCs w:val="22"/>
              </w:rPr>
            </w:pPr>
            <w:r w:rsidRPr="001825BE">
              <w:rPr>
                <w:rFonts w:asciiTheme="majorBidi" w:hAnsiTheme="majorBidi" w:cstheme="majorBidi"/>
                <w:b/>
                <w:bCs/>
                <w:sz w:val="22"/>
                <w:szCs w:val="22"/>
              </w:rPr>
              <w:lastRenderedPageBreak/>
              <w:t>Kartu su pasiūlymu pateikiamas</w:t>
            </w:r>
          </w:p>
        </w:tc>
      </w:tr>
      <w:tr w:rsidR="00F75045" w:rsidRPr="001825BE" w14:paraId="0A4DF8FA" w14:textId="77777777" w:rsidTr="001825BE">
        <w:trPr>
          <w:trHeight w:val="1215"/>
        </w:trPr>
        <w:tc>
          <w:tcPr>
            <w:tcW w:w="562"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C90C769" w14:textId="76FC4782" w:rsidR="00F75045" w:rsidRPr="001825BE" w:rsidRDefault="00F75045" w:rsidP="001825BE">
            <w:pPr>
              <w:spacing w:after="0" w:line="240" w:lineRule="auto"/>
              <w:jc w:val="center"/>
              <w:rPr>
                <w:rFonts w:asciiTheme="majorBidi" w:hAnsiTheme="majorBidi" w:cstheme="majorBidi"/>
                <w:color w:val="000000"/>
                <w:sz w:val="22"/>
                <w:szCs w:val="22"/>
                <w:lang w:eastAsia="en-US"/>
              </w:rPr>
            </w:pPr>
            <w:r w:rsidRPr="001825BE">
              <w:rPr>
                <w:rFonts w:asciiTheme="majorBidi" w:hAnsiTheme="majorBidi" w:cstheme="majorBidi"/>
                <w:color w:val="000000"/>
                <w:sz w:val="22"/>
                <w:szCs w:val="22"/>
                <w:lang w:eastAsia="en-US"/>
              </w:rPr>
              <w:t>8.</w:t>
            </w:r>
          </w:p>
        </w:tc>
        <w:tc>
          <w:tcPr>
            <w:tcW w:w="2479" w:type="dxa"/>
            <w:tcBorders>
              <w:top w:val="single" w:sz="4" w:space="0" w:color="auto"/>
              <w:left w:val="nil"/>
              <w:bottom w:val="single" w:sz="4" w:space="0" w:color="auto"/>
              <w:right w:val="single" w:sz="4" w:space="0" w:color="auto"/>
            </w:tcBorders>
            <w:shd w:val="clear" w:color="000000" w:fill="FFFFFF" w:themeFill="background1"/>
            <w:vAlign w:val="center"/>
          </w:tcPr>
          <w:p w14:paraId="6C554FDB" w14:textId="77777777" w:rsidR="00F75045" w:rsidRPr="001825BE" w:rsidRDefault="00F75045" w:rsidP="001825BE">
            <w:pPr>
              <w:shd w:val="clear" w:color="auto" w:fill="FFFFFF"/>
              <w:spacing w:after="0" w:line="240" w:lineRule="auto"/>
              <w:jc w:val="both"/>
              <w:rPr>
                <w:rFonts w:asciiTheme="majorBidi" w:hAnsiTheme="majorBidi" w:cstheme="majorBidi"/>
                <w:sz w:val="22"/>
                <w:szCs w:val="22"/>
              </w:rPr>
            </w:pPr>
            <w:r w:rsidRPr="001825BE">
              <w:rPr>
                <w:rFonts w:asciiTheme="majorBidi" w:hAnsiTheme="majorBidi" w:cstheme="majorBidi"/>
                <w:sz w:val="22"/>
                <w:szCs w:val="22"/>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w:t>
            </w:r>
          </w:p>
          <w:p w14:paraId="293ECF01" w14:textId="14BB1DE7" w:rsidR="00F75045" w:rsidRPr="001825BE" w:rsidRDefault="00F75045" w:rsidP="001825BE">
            <w:pPr>
              <w:spacing w:after="0" w:line="240" w:lineRule="auto"/>
              <w:jc w:val="both"/>
              <w:rPr>
                <w:rFonts w:asciiTheme="majorBidi" w:hAnsiTheme="majorBidi" w:cstheme="majorBidi"/>
                <w:sz w:val="22"/>
                <w:szCs w:val="22"/>
              </w:rPr>
            </w:pPr>
            <w:r w:rsidRPr="001825BE">
              <w:rPr>
                <w:rFonts w:asciiTheme="majorBidi" w:hAnsiTheme="majorBidi" w:cstheme="majorBidi"/>
                <w:sz w:val="22"/>
                <w:szCs w:val="22"/>
                <w:u w:val="single"/>
              </w:rPr>
              <w:t>Pastaba:</w:t>
            </w:r>
            <w:r w:rsidRPr="001825BE">
              <w:rPr>
                <w:rFonts w:asciiTheme="majorBidi" w:hAnsiTheme="majorBidi" w:cstheme="majorBidi"/>
                <w:sz w:val="22"/>
                <w:szCs w:val="22"/>
              </w:rPr>
              <w:t> Reikalavimas taikomas vadovaujantis </w:t>
            </w:r>
            <w:r w:rsidRPr="001825BE">
              <w:rPr>
                <w:rFonts w:asciiTheme="majorBidi" w:hAnsiTheme="majorBidi" w:cstheme="majorBidi"/>
                <w:sz w:val="22"/>
                <w:szCs w:val="22"/>
                <w:shd w:val="clear" w:color="auto" w:fill="FFFFFF"/>
              </w:rPr>
              <w:t>Lietuvos Respublikos aplinkos ministro 2022 m. gruodžio 13 d. įsakymu Nr. D1-401 patvirtinto aplinkos apsaugos kriterijų taikymo, vykdant žaliuosius pirkimus, tvarkos aprašo II skyriaus 4.4.4.4 punktu.</w:t>
            </w:r>
          </w:p>
        </w:tc>
        <w:tc>
          <w:tcPr>
            <w:tcW w:w="6026" w:type="dxa"/>
            <w:tcBorders>
              <w:top w:val="single" w:sz="4" w:space="0" w:color="auto"/>
              <w:left w:val="nil"/>
              <w:bottom w:val="single" w:sz="4" w:space="0" w:color="auto"/>
              <w:right w:val="single" w:sz="4" w:space="0" w:color="auto"/>
            </w:tcBorders>
            <w:shd w:val="clear" w:color="000000" w:fill="FFFFFF" w:themeFill="background1"/>
            <w:vAlign w:val="center"/>
          </w:tcPr>
          <w:p w14:paraId="69981441" w14:textId="34C58339" w:rsidR="00F75045" w:rsidRPr="001825BE" w:rsidRDefault="00F75045" w:rsidP="001825BE">
            <w:pPr>
              <w:spacing w:after="0" w:line="240" w:lineRule="auto"/>
              <w:ind w:left="430"/>
              <w:jc w:val="both"/>
              <w:rPr>
                <w:rFonts w:asciiTheme="majorBidi" w:hAnsiTheme="majorBidi" w:cstheme="majorBidi"/>
                <w:b/>
                <w:bCs/>
                <w:sz w:val="22"/>
                <w:szCs w:val="22"/>
              </w:rPr>
            </w:pPr>
            <w:r w:rsidRPr="001825BE">
              <w:rPr>
                <w:rFonts w:asciiTheme="majorBidi" w:hAnsiTheme="majorBidi" w:cstheme="majorBidi"/>
                <w:b/>
                <w:bCs/>
                <w:sz w:val="22"/>
                <w:szCs w:val="22"/>
              </w:rPr>
              <w:t>Būtinas tiekėjo ir/arba gamintojo atitinkamas patvirtinimas, kuris pateikiamas kartu su pasiūlymu.</w:t>
            </w:r>
          </w:p>
        </w:tc>
      </w:tr>
      <w:tr w:rsidR="00B36E85" w:rsidRPr="001825BE" w14:paraId="54545360" w14:textId="77777777" w:rsidTr="001825BE">
        <w:trPr>
          <w:trHeight w:val="1215"/>
        </w:trPr>
        <w:tc>
          <w:tcPr>
            <w:tcW w:w="562"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A09E053" w14:textId="6EC46F08" w:rsidR="00B36E85" w:rsidRPr="001825BE" w:rsidRDefault="00F75045" w:rsidP="001825BE">
            <w:pPr>
              <w:spacing w:after="0" w:line="240" w:lineRule="auto"/>
              <w:jc w:val="center"/>
              <w:rPr>
                <w:rFonts w:asciiTheme="majorBidi" w:hAnsiTheme="majorBidi" w:cstheme="majorBidi"/>
                <w:color w:val="000000"/>
                <w:sz w:val="22"/>
                <w:szCs w:val="22"/>
                <w:lang w:eastAsia="en-US"/>
              </w:rPr>
            </w:pPr>
            <w:r w:rsidRPr="001825BE">
              <w:rPr>
                <w:rFonts w:asciiTheme="majorBidi" w:hAnsiTheme="majorBidi" w:cstheme="majorBidi"/>
                <w:color w:val="000000"/>
                <w:sz w:val="22"/>
                <w:szCs w:val="22"/>
                <w:lang w:eastAsia="en-US"/>
              </w:rPr>
              <w:t>9</w:t>
            </w:r>
            <w:r w:rsidR="00B36E85" w:rsidRPr="001825BE">
              <w:rPr>
                <w:rFonts w:asciiTheme="majorBidi" w:hAnsiTheme="majorBidi" w:cstheme="majorBidi"/>
                <w:color w:val="000000"/>
                <w:sz w:val="22"/>
                <w:szCs w:val="22"/>
                <w:lang w:eastAsia="en-US"/>
              </w:rPr>
              <w:t>.</w:t>
            </w:r>
          </w:p>
        </w:tc>
        <w:tc>
          <w:tcPr>
            <w:tcW w:w="2479" w:type="dxa"/>
            <w:tcBorders>
              <w:top w:val="single" w:sz="4" w:space="0" w:color="auto"/>
              <w:left w:val="nil"/>
              <w:bottom w:val="single" w:sz="4" w:space="0" w:color="auto"/>
              <w:right w:val="single" w:sz="4" w:space="0" w:color="auto"/>
            </w:tcBorders>
            <w:shd w:val="clear" w:color="000000" w:fill="FFFFFF" w:themeFill="background1"/>
            <w:vAlign w:val="center"/>
          </w:tcPr>
          <w:p w14:paraId="47EFBFDF" w14:textId="1A615A07" w:rsidR="00B36E85" w:rsidRPr="001825BE" w:rsidRDefault="00B36E85" w:rsidP="001825BE">
            <w:pPr>
              <w:spacing w:after="0" w:line="240" w:lineRule="auto"/>
              <w:jc w:val="both"/>
              <w:rPr>
                <w:rFonts w:asciiTheme="majorBidi" w:hAnsiTheme="majorBidi" w:cstheme="majorBidi"/>
                <w:b/>
                <w:bCs/>
                <w:sz w:val="22"/>
                <w:szCs w:val="22"/>
              </w:rPr>
            </w:pPr>
            <w:r w:rsidRPr="001825BE">
              <w:rPr>
                <w:rFonts w:asciiTheme="majorBidi" w:hAnsiTheme="majorBidi" w:cstheme="majorBidi"/>
                <w:sz w:val="22"/>
                <w:szCs w:val="22"/>
              </w:rPr>
              <w:t xml:space="preserve">Garantinis laikotarpis sistemai </w:t>
            </w:r>
          </w:p>
        </w:tc>
        <w:tc>
          <w:tcPr>
            <w:tcW w:w="6026" w:type="dxa"/>
            <w:tcBorders>
              <w:top w:val="single" w:sz="4" w:space="0" w:color="auto"/>
              <w:left w:val="nil"/>
              <w:bottom w:val="single" w:sz="4" w:space="0" w:color="auto"/>
              <w:right w:val="single" w:sz="4" w:space="0" w:color="auto"/>
            </w:tcBorders>
            <w:shd w:val="clear" w:color="000000" w:fill="FFFFFF" w:themeFill="background1"/>
            <w:vAlign w:val="center"/>
          </w:tcPr>
          <w:p w14:paraId="53A0A12E" w14:textId="6C6EF2DD" w:rsidR="00B36E85" w:rsidRPr="001825BE" w:rsidRDefault="00B36E85" w:rsidP="001825BE">
            <w:pPr>
              <w:spacing w:after="0" w:line="240" w:lineRule="auto"/>
              <w:ind w:left="430"/>
              <w:jc w:val="both"/>
              <w:rPr>
                <w:rFonts w:asciiTheme="majorBidi" w:hAnsiTheme="majorBidi" w:cstheme="majorBidi"/>
                <w:b/>
                <w:color w:val="000000"/>
                <w:sz w:val="22"/>
                <w:szCs w:val="22"/>
              </w:rPr>
            </w:pPr>
            <w:r w:rsidRPr="001825BE">
              <w:rPr>
                <w:rFonts w:asciiTheme="majorBidi" w:hAnsiTheme="majorBidi" w:cstheme="majorBidi"/>
                <w:sz w:val="22"/>
                <w:szCs w:val="22"/>
              </w:rPr>
              <w:t>Ne mažiau 24 mėnesiai</w:t>
            </w:r>
          </w:p>
        </w:tc>
      </w:tr>
      <w:tr w:rsidR="00B36E85" w:rsidRPr="001825BE" w14:paraId="5C326085" w14:textId="77777777" w:rsidTr="001825BE">
        <w:trPr>
          <w:trHeight w:val="1215"/>
        </w:trPr>
        <w:tc>
          <w:tcPr>
            <w:tcW w:w="562"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8FA2F28" w14:textId="06D2D2DF" w:rsidR="00B36E85" w:rsidRPr="001825BE" w:rsidRDefault="00F75045" w:rsidP="001825BE">
            <w:pPr>
              <w:spacing w:after="0" w:line="240" w:lineRule="auto"/>
              <w:jc w:val="center"/>
              <w:rPr>
                <w:rFonts w:asciiTheme="majorBidi" w:hAnsiTheme="majorBidi" w:cstheme="majorBidi"/>
                <w:color w:val="000000"/>
                <w:sz w:val="22"/>
                <w:szCs w:val="22"/>
                <w:lang w:eastAsia="en-US"/>
              </w:rPr>
            </w:pPr>
            <w:r w:rsidRPr="001825BE">
              <w:rPr>
                <w:rFonts w:asciiTheme="majorBidi" w:hAnsiTheme="majorBidi" w:cstheme="majorBidi"/>
                <w:color w:val="000000"/>
                <w:sz w:val="22"/>
                <w:szCs w:val="22"/>
                <w:lang w:eastAsia="en-US"/>
              </w:rPr>
              <w:t>10</w:t>
            </w:r>
            <w:r w:rsidR="00B36E85" w:rsidRPr="001825BE">
              <w:rPr>
                <w:rFonts w:asciiTheme="majorBidi" w:hAnsiTheme="majorBidi" w:cstheme="majorBidi"/>
                <w:color w:val="000000"/>
                <w:sz w:val="22"/>
                <w:szCs w:val="22"/>
                <w:lang w:eastAsia="en-US"/>
              </w:rPr>
              <w:t>.</w:t>
            </w:r>
          </w:p>
        </w:tc>
        <w:tc>
          <w:tcPr>
            <w:tcW w:w="2479" w:type="dxa"/>
            <w:tcBorders>
              <w:top w:val="single" w:sz="4" w:space="0" w:color="auto"/>
              <w:left w:val="nil"/>
              <w:bottom w:val="single" w:sz="4" w:space="0" w:color="auto"/>
              <w:right w:val="single" w:sz="4" w:space="0" w:color="auto"/>
            </w:tcBorders>
            <w:shd w:val="clear" w:color="000000" w:fill="FFFFFF" w:themeFill="background1"/>
            <w:vAlign w:val="center"/>
          </w:tcPr>
          <w:p w14:paraId="00EFBECB" w14:textId="0281A640" w:rsidR="00B36E85" w:rsidRPr="001825BE" w:rsidRDefault="00B36E85" w:rsidP="001825BE">
            <w:pPr>
              <w:spacing w:after="0" w:line="240" w:lineRule="auto"/>
              <w:jc w:val="both"/>
              <w:rPr>
                <w:rFonts w:asciiTheme="majorBidi" w:hAnsiTheme="majorBidi" w:cstheme="majorBidi"/>
                <w:b/>
                <w:bCs/>
                <w:sz w:val="22"/>
                <w:szCs w:val="22"/>
              </w:rPr>
            </w:pPr>
            <w:r w:rsidRPr="001825BE">
              <w:rPr>
                <w:rFonts w:asciiTheme="majorBidi" w:hAnsiTheme="majorBidi" w:cstheme="majorBidi"/>
                <w:sz w:val="22"/>
                <w:szCs w:val="22"/>
              </w:rPr>
              <w:t>Tiekėjas turi teisę atlikti siūlomų prekių techninį aptarnavimą ir garantinę priežiūrą arba turi sutartį su kitu ūkio subjektu, turinčiu teisę atlikti siūlomų prekių techninį aptarnavimą ir garantinę priežiūrą garantijos termino metu</w:t>
            </w:r>
          </w:p>
        </w:tc>
        <w:tc>
          <w:tcPr>
            <w:tcW w:w="6026" w:type="dxa"/>
            <w:tcBorders>
              <w:top w:val="single" w:sz="4" w:space="0" w:color="auto"/>
              <w:left w:val="nil"/>
              <w:bottom w:val="single" w:sz="4" w:space="0" w:color="auto"/>
              <w:right w:val="single" w:sz="4" w:space="0" w:color="auto"/>
            </w:tcBorders>
            <w:shd w:val="clear" w:color="000000" w:fill="FFFFFF" w:themeFill="background1"/>
            <w:vAlign w:val="center"/>
          </w:tcPr>
          <w:p w14:paraId="08771A23" w14:textId="42A8863A" w:rsidR="00B36E85" w:rsidRPr="001825BE" w:rsidRDefault="00B36E85" w:rsidP="001825BE">
            <w:pPr>
              <w:spacing w:after="0" w:line="240" w:lineRule="auto"/>
              <w:ind w:left="430"/>
              <w:jc w:val="both"/>
              <w:rPr>
                <w:rFonts w:asciiTheme="majorBidi" w:hAnsiTheme="majorBidi" w:cstheme="majorBidi"/>
                <w:b/>
                <w:color w:val="000000"/>
                <w:sz w:val="22"/>
                <w:szCs w:val="22"/>
              </w:rPr>
            </w:pPr>
            <w:r w:rsidRPr="001825BE">
              <w:rPr>
                <w:rFonts w:asciiTheme="majorBidi" w:hAnsiTheme="majorBidi" w:cstheme="majorBidi"/>
                <w:sz w:val="22"/>
                <w:szCs w:val="22"/>
              </w:rPr>
              <w:t>Būtina (</w:t>
            </w:r>
            <w:r w:rsidR="00F75045" w:rsidRPr="001825BE">
              <w:rPr>
                <w:rFonts w:asciiTheme="majorBidi" w:hAnsiTheme="majorBidi" w:cstheme="majorBidi"/>
                <w:sz w:val="22"/>
                <w:szCs w:val="22"/>
              </w:rPr>
              <w:t>prekės pristatymo metu turi</w:t>
            </w:r>
            <w:r w:rsidRPr="001825BE">
              <w:rPr>
                <w:rFonts w:asciiTheme="majorBidi" w:hAnsiTheme="majorBidi" w:cstheme="majorBidi"/>
                <w:sz w:val="22"/>
                <w:szCs w:val="22"/>
              </w:rPr>
              <w:t xml:space="preserve"> pateikti dokumentus, patvirtinančius, kad tiekėjas yra siūlomų prekių gamintojo sertifikuotas ir/ar įgaliotas atlikti techninį aptarnavimą ir garantinę priežiūrą. Jeigu tiekėjas nėra įgaliotas atlikti siūlomų prekių techninio aptarnavimo ir garantinės priežiūros, tuomet turi pateikti sutartį su kitu ūkio subjektu dėl siūlomos įrangos techninio aptarnavimo ir garantinės priežiūros paslaugų teikimo).</w:t>
            </w:r>
          </w:p>
        </w:tc>
      </w:tr>
    </w:tbl>
    <w:p w14:paraId="1ACF65F8" w14:textId="77777777" w:rsidR="00233EFE" w:rsidRDefault="00233EFE" w:rsidP="00B36E85">
      <w:pPr>
        <w:spacing w:line="240" w:lineRule="auto"/>
        <w:rPr>
          <w:b/>
          <w:noProof/>
          <w:color w:val="000000" w:themeColor="text1"/>
        </w:rPr>
      </w:pPr>
    </w:p>
    <w:p w14:paraId="0318E740" w14:textId="77777777" w:rsidR="00F75045" w:rsidRDefault="00F75045" w:rsidP="00B36E85">
      <w:pPr>
        <w:spacing w:line="240" w:lineRule="auto"/>
        <w:rPr>
          <w:b/>
          <w:noProof/>
          <w:color w:val="000000" w:themeColor="text1"/>
        </w:rPr>
      </w:pPr>
    </w:p>
    <w:p w14:paraId="686D73BD" w14:textId="7B4DE872" w:rsidR="00F75045" w:rsidRPr="00AB36C8" w:rsidRDefault="00F75045" w:rsidP="00B36E85">
      <w:pPr>
        <w:spacing w:line="240" w:lineRule="auto"/>
        <w:rPr>
          <w:b/>
          <w:noProof/>
          <w:color w:val="000000" w:themeColor="text1"/>
        </w:rPr>
      </w:pPr>
      <w:r>
        <w:rPr>
          <w:b/>
          <w:noProof/>
          <w:color w:val="000000" w:themeColor="text1"/>
        </w:rPr>
        <w:t xml:space="preserve">                                         ______________________________</w:t>
      </w:r>
    </w:p>
    <w:sectPr w:rsidR="00F75045" w:rsidRPr="00AB36C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EEC"/>
    <w:multiLevelType w:val="hybridMultilevel"/>
    <w:tmpl w:val="1D14F070"/>
    <w:lvl w:ilvl="0" w:tplc="FFFFFFFF">
      <w:start w:val="1"/>
      <w:numFmt w:val="decimal"/>
      <w:lvlText w:val="%1."/>
      <w:lvlJc w:val="left"/>
      <w:pPr>
        <w:ind w:left="432" w:hanging="360"/>
      </w:pPr>
      <w:rPr>
        <w:rFonts w:ascii="Times New Roman" w:hAnsi="Times New Roman" w:cs="Times New Roman"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 w15:restartNumberingAfterBreak="0">
    <w:nsid w:val="2B872837"/>
    <w:multiLevelType w:val="hybridMultilevel"/>
    <w:tmpl w:val="D974EB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0C2B3E"/>
    <w:multiLevelType w:val="hybridMultilevel"/>
    <w:tmpl w:val="62D03228"/>
    <w:lvl w:ilvl="0" w:tplc="FFFFFFFF">
      <w:start w:val="1"/>
      <w:numFmt w:val="decimal"/>
      <w:lvlText w:val="%1."/>
      <w:lvlJc w:val="left"/>
      <w:pPr>
        <w:ind w:left="122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27D0379"/>
    <w:multiLevelType w:val="multilevel"/>
    <w:tmpl w:val="8BF22480"/>
    <w:lvl w:ilvl="0">
      <w:start w:val="1"/>
      <w:numFmt w:val="decimal"/>
      <w:lvlText w:val="%1."/>
      <w:lvlJc w:val="left"/>
      <w:pPr>
        <w:ind w:left="720" w:hanging="360"/>
      </w:pPr>
      <w:rPr>
        <w:rFonts w:hint="default"/>
      </w:rPr>
    </w:lvl>
    <w:lvl w:ilvl="1">
      <w:start w:val="1"/>
      <w:numFmt w:val="decimal"/>
      <w:isLgl/>
      <w:lvlText w:val="%1.%2"/>
      <w:lvlJc w:val="left"/>
      <w:pPr>
        <w:ind w:left="79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 w15:restartNumberingAfterBreak="0">
    <w:nsid w:val="555B58B1"/>
    <w:multiLevelType w:val="hybridMultilevel"/>
    <w:tmpl w:val="62D03228"/>
    <w:lvl w:ilvl="0" w:tplc="FFFFFFFF">
      <w:start w:val="1"/>
      <w:numFmt w:val="decimal"/>
      <w:lvlText w:val="%1."/>
      <w:lvlJc w:val="left"/>
      <w:pPr>
        <w:ind w:left="122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5CF25F6"/>
    <w:multiLevelType w:val="hybridMultilevel"/>
    <w:tmpl w:val="2F240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6614BE"/>
    <w:multiLevelType w:val="hybridMultilevel"/>
    <w:tmpl w:val="AF921BE0"/>
    <w:lvl w:ilvl="0" w:tplc="FFFFFFFF">
      <w:start w:val="1"/>
      <w:numFmt w:val="decimal"/>
      <w:lvlText w:val="%1."/>
      <w:lvlJc w:val="left"/>
      <w:pPr>
        <w:ind w:left="433" w:hanging="360"/>
      </w:pPr>
      <w:rPr>
        <w:rFonts w:ascii="Times New Roman" w:hAnsi="Times New Roman" w:cs="Times New Roman" w:hint="default"/>
      </w:rPr>
    </w:lvl>
    <w:lvl w:ilvl="1" w:tplc="FFFFFFFF" w:tentative="1">
      <w:start w:val="1"/>
      <w:numFmt w:val="lowerLetter"/>
      <w:lvlText w:val="%2."/>
      <w:lvlJc w:val="left"/>
      <w:pPr>
        <w:ind w:left="1513" w:hanging="360"/>
      </w:pPr>
    </w:lvl>
    <w:lvl w:ilvl="2" w:tplc="FFFFFFFF" w:tentative="1">
      <w:start w:val="1"/>
      <w:numFmt w:val="lowerRoman"/>
      <w:lvlText w:val="%3."/>
      <w:lvlJc w:val="right"/>
      <w:pPr>
        <w:ind w:left="2233" w:hanging="180"/>
      </w:pPr>
    </w:lvl>
    <w:lvl w:ilvl="3" w:tplc="FFFFFFFF" w:tentative="1">
      <w:start w:val="1"/>
      <w:numFmt w:val="decimal"/>
      <w:lvlText w:val="%4."/>
      <w:lvlJc w:val="left"/>
      <w:pPr>
        <w:ind w:left="2953" w:hanging="360"/>
      </w:pPr>
    </w:lvl>
    <w:lvl w:ilvl="4" w:tplc="FFFFFFFF" w:tentative="1">
      <w:start w:val="1"/>
      <w:numFmt w:val="lowerLetter"/>
      <w:lvlText w:val="%5."/>
      <w:lvlJc w:val="left"/>
      <w:pPr>
        <w:ind w:left="3673" w:hanging="360"/>
      </w:pPr>
    </w:lvl>
    <w:lvl w:ilvl="5" w:tplc="FFFFFFFF" w:tentative="1">
      <w:start w:val="1"/>
      <w:numFmt w:val="lowerRoman"/>
      <w:lvlText w:val="%6."/>
      <w:lvlJc w:val="right"/>
      <w:pPr>
        <w:ind w:left="4393" w:hanging="180"/>
      </w:pPr>
    </w:lvl>
    <w:lvl w:ilvl="6" w:tplc="FFFFFFFF" w:tentative="1">
      <w:start w:val="1"/>
      <w:numFmt w:val="decimal"/>
      <w:lvlText w:val="%7."/>
      <w:lvlJc w:val="left"/>
      <w:pPr>
        <w:ind w:left="5113" w:hanging="360"/>
      </w:pPr>
    </w:lvl>
    <w:lvl w:ilvl="7" w:tplc="FFFFFFFF" w:tentative="1">
      <w:start w:val="1"/>
      <w:numFmt w:val="lowerLetter"/>
      <w:lvlText w:val="%8."/>
      <w:lvlJc w:val="left"/>
      <w:pPr>
        <w:ind w:left="5833" w:hanging="360"/>
      </w:pPr>
    </w:lvl>
    <w:lvl w:ilvl="8" w:tplc="FFFFFFFF" w:tentative="1">
      <w:start w:val="1"/>
      <w:numFmt w:val="lowerRoman"/>
      <w:lvlText w:val="%9."/>
      <w:lvlJc w:val="right"/>
      <w:pPr>
        <w:ind w:left="6553" w:hanging="180"/>
      </w:pPr>
    </w:lvl>
  </w:abstractNum>
  <w:abstractNum w:abstractNumId="7" w15:restartNumberingAfterBreak="0">
    <w:nsid w:val="627154CE"/>
    <w:multiLevelType w:val="hybridMultilevel"/>
    <w:tmpl w:val="62D03228"/>
    <w:lvl w:ilvl="0" w:tplc="FFFFFFFF">
      <w:start w:val="1"/>
      <w:numFmt w:val="decimal"/>
      <w:lvlText w:val="%1."/>
      <w:lvlJc w:val="left"/>
      <w:pPr>
        <w:ind w:left="122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37590670">
    <w:abstractNumId w:val="0"/>
  </w:num>
  <w:num w:numId="2" w16cid:durableId="66808456">
    <w:abstractNumId w:val="6"/>
  </w:num>
  <w:num w:numId="3" w16cid:durableId="698551496">
    <w:abstractNumId w:val="1"/>
  </w:num>
  <w:num w:numId="4" w16cid:durableId="2040810821">
    <w:abstractNumId w:val="3"/>
  </w:num>
  <w:num w:numId="5" w16cid:durableId="5558992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0905871">
    <w:abstractNumId w:val="2"/>
  </w:num>
  <w:num w:numId="7" w16cid:durableId="1727100727">
    <w:abstractNumId w:val="4"/>
  </w:num>
  <w:num w:numId="8" w16cid:durableId="965694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1sTA1tTA1tDA2tbRQ0lEKTi0uzszPAykwrQUAvwtdSSwAAAA="/>
  </w:docVars>
  <w:rsids>
    <w:rsidRoot w:val="001F6AF5"/>
    <w:rsid w:val="000514F5"/>
    <w:rsid w:val="000739FB"/>
    <w:rsid w:val="00153150"/>
    <w:rsid w:val="001825BE"/>
    <w:rsid w:val="001F6AF5"/>
    <w:rsid w:val="0021437F"/>
    <w:rsid w:val="00233EFE"/>
    <w:rsid w:val="002C7B7F"/>
    <w:rsid w:val="003B52F8"/>
    <w:rsid w:val="00507FA5"/>
    <w:rsid w:val="00532689"/>
    <w:rsid w:val="00584C1D"/>
    <w:rsid w:val="005C2D1C"/>
    <w:rsid w:val="0061180B"/>
    <w:rsid w:val="00651586"/>
    <w:rsid w:val="006F31C9"/>
    <w:rsid w:val="0089414E"/>
    <w:rsid w:val="009321BE"/>
    <w:rsid w:val="00A84624"/>
    <w:rsid w:val="00AB0496"/>
    <w:rsid w:val="00AB36C8"/>
    <w:rsid w:val="00AF0C20"/>
    <w:rsid w:val="00B316B8"/>
    <w:rsid w:val="00B36E85"/>
    <w:rsid w:val="00B4390E"/>
    <w:rsid w:val="00B71526"/>
    <w:rsid w:val="00BA6039"/>
    <w:rsid w:val="00BF1BC2"/>
    <w:rsid w:val="00BF4FF8"/>
    <w:rsid w:val="00D21256"/>
    <w:rsid w:val="00D975E2"/>
    <w:rsid w:val="00E01646"/>
    <w:rsid w:val="00E40EC5"/>
    <w:rsid w:val="00F75045"/>
    <w:rsid w:val="00F83E79"/>
    <w:rsid w:val="00FA444E"/>
    <w:rsid w:val="00FD1ED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6821"/>
  <w15:chartTrackingRefBased/>
  <w15:docId w15:val="{E6A6F9F8-1C00-4646-9393-675B6198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3EFE"/>
    <w:pPr>
      <w:spacing w:after="200" w:line="276"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33EFE"/>
    <w:pPr>
      <w:spacing w:after="0" w:line="240" w:lineRule="auto"/>
      <w:ind w:left="720"/>
    </w:pPr>
    <w:rPr>
      <w:lang w:val="en-US" w:eastAsia="x-none"/>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233EFE"/>
    <w:rPr>
      <w:rFonts w:ascii="Times New Roman" w:eastAsia="Times New Roman" w:hAnsi="Times New Roman" w:cs="Times New Roman"/>
      <w:sz w:val="24"/>
      <w:szCs w:val="20"/>
      <w:lang w:val="en-US" w:eastAsia="x-none"/>
    </w:rPr>
  </w:style>
  <w:style w:type="paragraph" w:customStyle="1" w:styleId="TableParagraph">
    <w:name w:val="Table Paragraph"/>
    <w:basedOn w:val="prastasis"/>
    <w:uiPriority w:val="1"/>
    <w:qFormat/>
    <w:rsid w:val="00233EFE"/>
    <w:pPr>
      <w:widowControl w:val="0"/>
      <w:autoSpaceDE w:val="0"/>
      <w:autoSpaceDN w:val="0"/>
      <w:spacing w:after="0" w:line="240" w:lineRule="auto"/>
      <w:ind w:left="347"/>
    </w:pPr>
    <w:rPr>
      <w:sz w:val="22"/>
      <w:szCs w:val="22"/>
      <w:lang w:eastAsia="en-US"/>
    </w:rPr>
  </w:style>
  <w:style w:type="paragraph" w:customStyle="1" w:styleId="prastasis1">
    <w:name w:val="Įprastasis1"/>
    <w:rsid w:val="00233EFE"/>
    <w:pPr>
      <w:widowControl w:val="0"/>
      <w:suppressAutoHyphens/>
      <w:spacing w:after="200" w:line="276" w:lineRule="auto"/>
    </w:pPr>
    <w:rPr>
      <w:rFonts w:ascii="Times New Roman" w:eastAsia="Calibri" w:hAnsi="Times New Roman" w:cs="Calibri"/>
      <w:color w:val="00000A"/>
      <w:sz w:val="24"/>
      <w:szCs w:val="24"/>
      <w:lang w:val="en-US"/>
    </w:rPr>
  </w:style>
  <w:style w:type="character" w:styleId="Komentaronuoroda">
    <w:name w:val="annotation reference"/>
    <w:basedOn w:val="Numatytasispastraiposriftas"/>
    <w:uiPriority w:val="99"/>
    <w:semiHidden/>
    <w:unhideWhenUsed/>
    <w:rsid w:val="0089414E"/>
    <w:rPr>
      <w:sz w:val="16"/>
      <w:szCs w:val="16"/>
    </w:rPr>
  </w:style>
  <w:style w:type="paragraph" w:styleId="Komentarotekstas">
    <w:name w:val="annotation text"/>
    <w:basedOn w:val="prastasis"/>
    <w:link w:val="KomentarotekstasDiagrama"/>
    <w:uiPriority w:val="99"/>
    <w:unhideWhenUsed/>
    <w:rsid w:val="0089414E"/>
    <w:pPr>
      <w:spacing w:line="240" w:lineRule="auto"/>
    </w:pPr>
    <w:rPr>
      <w:sz w:val="20"/>
    </w:rPr>
  </w:style>
  <w:style w:type="character" w:customStyle="1" w:styleId="KomentarotekstasDiagrama">
    <w:name w:val="Komentaro tekstas Diagrama"/>
    <w:basedOn w:val="Numatytasispastraiposriftas"/>
    <w:link w:val="Komentarotekstas"/>
    <w:uiPriority w:val="99"/>
    <w:rsid w:val="0089414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9414E"/>
    <w:rPr>
      <w:b/>
      <w:bCs/>
    </w:rPr>
  </w:style>
  <w:style w:type="character" w:customStyle="1" w:styleId="KomentarotemaDiagrama">
    <w:name w:val="Komentaro tema Diagrama"/>
    <w:basedOn w:val="KomentarotekstasDiagrama"/>
    <w:link w:val="Komentarotema"/>
    <w:uiPriority w:val="99"/>
    <w:semiHidden/>
    <w:rsid w:val="0089414E"/>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1112</TotalTime>
  <Pages>3</Pages>
  <Words>4063</Words>
  <Characters>2317</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Laura Kutkutė</cp:lastModifiedBy>
  <cp:revision>7</cp:revision>
  <dcterms:created xsi:type="dcterms:W3CDTF">2026-03-31T10:26:00Z</dcterms:created>
  <dcterms:modified xsi:type="dcterms:W3CDTF">2026-04-02T08:26:00Z</dcterms:modified>
</cp:coreProperties>
</file>