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9A45" w14:textId="197D4DC1" w:rsidR="00856182" w:rsidRPr="00CA0588" w:rsidRDefault="003C4FC5" w:rsidP="00856182">
      <w:pPr>
        <w:pStyle w:val="prastasiniatinklio"/>
        <w:shd w:val="clear" w:color="auto" w:fill="FFFFFF"/>
        <w:spacing w:before="0" w:beforeAutospacing="0" w:after="150" w:afterAutospacing="0"/>
        <w:jc w:val="center"/>
        <w:rPr>
          <w:rFonts w:ascii="Arial" w:hAnsi="Arial" w:cs="Arial"/>
          <w:b/>
          <w:i/>
          <w:iCs/>
          <w:sz w:val="23"/>
          <w:szCs w:val="23"/>
        </w:rPr>
      </w:pPr>
      <w:r>
        <w:rPr>
          <w:rFonts w:ascii="Arial" w:hAnsi="Arial" w:cs="Arial"/>
          <w:b/>
          <w:i/>
          <w:iCs/>
          <w:sz w:val="23"/>
          <w:szCs w:val="23"/>
          <w:lang w:val="en-US"/>
        </w:rPr>
        <w:t>KITOS PASKIRTIES INŽINERINIO STATINIO STATYBOS IR JAME 10MW GALIOS IR 20MWH TALPOS ELEKTROS ENERGIJOS KAUPIKLIO ĮRENGIMAS</w:t>
      </w:r>
      <w:r w:rsidR="00892F5C">
        <w:rPr>
          <w:rFonts w:ascii="Arial" w:hAnsi="Arial" w:cs="Arial"/>
          <w:b/>
          <w:i/>
          <w:iCs/>
          <w:sz w:val="23"/>
          <w:szCs w:val="23"/>
        </w:rPr>
        <w:t xml:space="preserve"> PIRKIMO</w:t>
      </w:r>
    </w:p>
    <w:p w14:paraId="08290C0E" w14:textId="775D9211" w:rsidR="00856182" w:rsidRDefault="00856182" w:rsidP="00856182">
      <w:pPr>
        <w:pStyle w:val="prastasiniatinklio"/>
        <w:shd w:val="clear" w:color="auto" w:fill="FFFFFF"/>
        <w:spacing w:before="0" w:beforeAutospacing="0" w:after="150" w:afterAutospacing="0"/>
        <w:jc w:val="center"/>
        <w:rPr>
          <w:rFonts w:ascii="Arial" w:hAnsi="Arial" w:cs="Arial"/>
          <w:b/>
          <w:i/>
          <w:iCs/>
          <w:sz w:val="23"/>
          <w:szCs w:val="23"/>
        </w:rPr>
      </w:pPr>
      <w:r w:rsidRPr="00856182">
        <w:rPr>
          <w:rFonts w:ascii="Arial" w:hAnsi="Arial" w:cs="Arial"/>
          <w:b/>
          <w:i/>
          <w:iCs/>
          <w:sz w:val="23"/>
          <w:szCs w:val="23"/>
        </w:rPr>
        <w:t>KLAUSIMAI – ATSAKYMA</w:t>
      </w:r>
      <w:r w:rsidR="00027455">
        <w:rPr>
          <w:rFonts w:ascii="Arial" w:hAnsi="Arial" w:cs="Arial"/>
          <w:b/>
          <w:i/>
          <w:iCs/>
          <w:sz w:val="23"/>
          <w:szCs w:val="23"/>
        </w:rPr>
        <w:t>I</w:t>
      </w:r>
    </w:p>
    <w:p w14:paraId="30C4E1E6" w14:textId="0A73E4EA" w:rsidR="00A86DDC" w:rsidRPr="00856182" w:rsidRDefault="00027455" w:rsidP="008213E1">
      <w:pPr>
        <w:pStyle w:val="prastasiniatinklio"/>
        <w:shd w:val="clear" w:color="auto" w:fill="FFFFFF"/>
        <w:spacing w:before="0" w:beforeAutospacing="0" w:after="150" w:afterAutospacing="0"/>
        <w:jc w:val="center"/>
        <w:rPr>
          <w:rFonts w:ascii="Arial" w:hAnsi="Arial" w:cs="Arial"/>
          <w:b/>
          <w:i/>
          <w:iCs/>
          <w:sz w:val="23"/>
          <w:szCs w:val="23"/>
        </w:rPr>
      </w:pPr>
      <w:r>
        <w:rPr>
          <w:rFonts w:ascii="Arial" w:hAnsi="Arial" w:cs="Arial"/>
          <w:b/>
          <w:i/>
          <w:iCs/>
          <w:sz w:val="23"/>
          <w:szCs w:val="23"/>
        </w:rPr>
        <w:t>202</w:t>
      </w:r>
      <w:r w:rsidR="00575E92">
        <w:rPr>
          <w:rFonts w:ascii="Arial" w:hAnsi="Arial" w:cs="Arial"/>
          <w:b/>
          <w:i/>
          <w:iCs/>
          <w:sz w:val="23"/>
          <w:szCs w:val="23"/>
        </w:rPr>
        <w:t>6</w:t>
      </w:r>
      <w:r>
        <w:rPr>
          <w:rFonts w:ascii="Arial" w:hAnsi="Arial" w:cs="Arial"/>
          <w:b/>
          <w:i/>
          <w:iCs/>
          <w:sz w:val="23"/>
          <w:szCs w:val="23"/>
        </w:rPr>
        <w:t>-</w:t>
      </w:r>
      <w:r w:rsidR="00575E92">
        <w:rPr>
          <w:rFonts w:ascii="Arial" w:hAnsi="Arial" w:cs="Arial"/>
          <w:b/>
          <w:i/>
          <w:iCs/>
          <w:sz w:val="23"/>
          <w:szCs w:val="23"/>
        </w:rPr>
        <w:t>0</w:t>
      </w:r>
      <w:r w:rsidR="00137493">
        <w:rPr>
          <w:rFonts w:ascii="Arial" w:hAnsi="Arial" w:cs="Arial"/>
          <w:b/>
          <w:i/>
          <w:iCs/>
          <w:sz w:val="23"/>
          <w:szCs w:val="23"/>
        </w:rPr>
        <w:t>4</w:t>
      </w:r>
      <w:r>
        <w:rPr>
          <w:rFonts w:ascii="Arial" w:hAnsi="Arial" w:cs="Arial"/>
          <w:b/>
          <w:i/>
          <w:iCs/>
          <w:sz w:val="23"/>
          <w:szCs w:val="23"/>
        </w:rPr>
        <w:t>-</w:t>
      </w:r>
      <w:r w:rsidR="00137493">
        <w:rPr>
          <w:rFonts w:ascii="Arial" w:hAnsi="Arial" w:cs="Arial"/>
          <w:b/>
          <w:i/>
          <w:iCs/>
          <w:sz w:val="23"/>
          <w:szCs w:val="23"/>
        </w:rPr>
        <w:t>07</w:t>
      </w:r>
    </w:p>
    <w:p w14:paraId="3D13366F" w14:textId="77777777" w:rsidR="00137493" w:rsidRPr="00137493" w:rsidRDefault="00B52486" w:rsidP="00137493">
      <w:pPr>
        <w:pStyle w:val="prastasiniatinklio"/>
        <w:shd w:val="clear" w:color="auto" w:fill="FFFFFF"/>
        <w:contextualSpacing/>
        <w:jc w:val="both"/>
        <w:rPr>
          <w:rFonts w:ascii="Arial" w:hAnsi="Arial" w:cs="Arial"/>
          <w:i/>
          <w:iCs/>
        </w:rPr>
      </w:pPr>
      <w:bookmarkStart w:id="0" w:name="_Hlk130541996"/>
      <w:r w:rsidRPr="004D56C4">
        <w:rPr>
          <w:rFonts w:ascii="Arial" w:hAnsi="Arial" w:cs="Arial"/>
          <w:i/>
          <w:iCs/>
          <w:u w:val="single"/>
        </w:rPr>
        <w:t>Klausimas Nr. 1</w:t>
      </w:r>
      <w:r w:rsidRPr="004D56C4">
        <w:rPr>
          <w:rFonts w:ascii="Arial" w:hAnsi="Arial" w:cs="Arial"/>
          <w:i/>
          <w:iCs/>
        </w:rPr>
        <w:t>:</w:t>
      </w:r>
      <w:r w:rsidR="00BE018F" w:rsidRPr="004D56C4">
        <w:rPr>
          <w:rFonts w:ascii="Arial" w:hAnsi="Arial" w:cs="Arial"/>
          <w:i/>
          <w:iCs/>
        </w:rPr>
        <w:t xml:space="preserve"> </w:t>
      </w:r>
      <w:r w:rsidR="00137493" w:rsidRPr="00137493">
        <w:rPr>
          <w:rFonts w:ascii="Arial" w:hAnsi="Arial" w:cs="Arial"/>
          <w:i/>
          <w:iCs/>
        </w:rPr>
        <w:t>Dėl atestatų:</w:t>
      </w:r>
    </w:p>
    <w:p w14:paraId="251C0C14" w14:textId="77777777" w:rsidR="00137493" w:rsidRPr="00137493" w:rsidRDefault="00137493" w:rsidP="00137493">
      <w:pPr>
        <w:pStyle w:val="prastasiniatinklio"/>
        <w:shd w:val="clear" w:color="auto" w:fill="FFFFFF"/>
        <w:contextualSpacing/>
        <w:jc w:val="both"/>
        <w:rPr>
          <w:rFonts w:ascii="Arial" w:hAnsi="Arial" w:cs="Arial"/>
          <w:i/>
          <w:iCs/>
        </w:rPr>
      </w:pPr>
      <w:r w:rsidRPr="00137493">
        <w:rPr>
          <w:rFonts w:ascii="Arial" w:hAnsi="Arial" w:cs="Arial"/>
          <w:i/>
          <w:iCs/>
        </w:rPr>
        <w:t>ą. Statinys nebus ypatingas, ar tikrai reikia ypatingo statinio projekto vadovo? Kodėl statiniai – kiti inžineriniai statiniai (pogrupis – kitos paskirties inžineriniai statiniai)? Ar neturėtu būti energetikos?</w:t>
      </w:r>
    </w:p>
    <w:p w14:paraId="4BBE0D88" w14:textId="38D37F39" w:rsidR="005416DC" w:rsidRDefault="005416DC" w:rsidP="006D520A">
      <w:pPr>
        <w:pStyle w:val="prastasiniatinklio"/>
        <w:shd w:val="clear" w:color="auto" w:fill="FFFFFF"/>
        <w:contextualSpacing/>
        <w:jc w:val="both"/>
        <w:rPr>
          <w:rFonts w:ascii="Arial" w:hAnsi="Arial" w:cs="Arial"/>
          <w:i/>
          <w:iCs/>
          <w:color w:val="00241A"/>
          <w:shd w:val="clear" w:color="auto" w:fill="FFFFFF"/>
        </w:rPr>
      </w:pPr>
    </w:p>
    <w:p w14:paraId="468CD7D4" w14:textId="77777777" w:rsidR="00137493" w:rsidRPr="00137493" w:rsidRDefault="00B52486" w:rsidP="00137493">
      <w:pPr>
        <w:pStyle w:val="prastasiniatinklio"/>
        <w:shd w:val="clear" w:color="auto" w:fill="FFFFFF"/>
        <w:contextualSpacing/>
        <w:jc w:val="both"/>
        <w:rPr>
          <w:rFonts w:ascii="Arial" w:hAnsi="Arial" w:cs="Arial"/>
          <w:b/>
          <w:bCs/>
        </w:rPr>
      </w:pPr>
      <w:r w:rsidRPr="004D56C4">
        <w:rPr>
          <w:rFonts w:ascii="Arial" w:hAnsi="Arial" w:cs="Arial"/>
          <w:b/>
          <w:bCs/>
          <w:u w:val="single"/>
        </w:rPr>
        <w:t>Atsakymas:</w:t>
      </w:r>
      <w:r w:rsidRPr="004D56C4">
        <w:rPr>
          <w:rFonts w:ascii="Arial" w:hAnsi="Arial" w:cs="Arial"/>
          <w:b/>
          <w:bCs/>
        </w:rPr>
        <w:t xml:space="preserve"> </w:t>
      </w:r>
      <w:bookmarkEnd w:id="0"/>
      <w:r w:rsidR="00137493" w:rsidRPr="00137493">
        <w:rPr>
          <w:rFonts w:ascii="Arial" w:hAnsi="Arial" w:cs="Arial"/>
          <w:b/>
          <w:bCs/>
        </w:rPr>
        <w:t xml:space="preserve">Vadovaujantis Lietuvos Respublikos statybos įstatymo 2 straipsnio 20 punktu „Ypatingasis statinys – statinys, [...] kuriame yra potencialiai pavojingų įrenginių; sudėtingos konstrukcijos ir sudėtingų technologijų statinys (pagal normatyviniais statybos techniniais dokumentais nustatytus sudėtingumo požymius ir techninius parametrus); [...]“ Taip pat pažymėtina, kad STR 1.01.03:2017 „Statinių ir patalpų klasifikavimas“ nuostatos dėl statinio kategorijos nustatymo reglamentuoja priskyrimo tvarką, todėl kiekvienu atveju statinio kategorija nustatoma įvertinus konkretaus statinio technines, technologines ir saugos charakteristikas. Projektuojamas elektros energijos kaupimo įrenginys (≥10 MW galios) apima ličio jonų baterijų sistemas, kurioms būdinga padidinta gaisro ir technologinių avarijų rizika, taip pat sudėtingos valdymo, apsaugos ir prijungimo prie elektros tinklų sistemos. Dėl šių savybių PS mano, kad statinys laikytinas sudėtingu ir turinčiu reikšmingą poveikį žmonių saugai, todėl, vadovaujantis Statybos įstatymo 2 straipsnyje įtvirtintais kriterijais, pagrįstai priskiriamas ypatingiesiems statiniams. Vadovaujantis Lietuvos Respublikos statybos įstatymo 12 straipsniu, ypatingųjų statinių projektavimui ir statybai gali vadovauti tik atestuoti specialistai, todėl reikalavimas turėti ypatingojo statinio projekto vadovą yra teisėtas ir proporcingas. </w:t>
      </w:r>
    </w:p>
    <w:p w14:paraId="2440C5FF" w14:textId="77777777" w:rsidR="00137493" w:rsidRPr="00137493" w:rsidRDefault="00137493" w:rsidP="00137493">
      <w:pPr>
        <w:pStyle w:val="prastasiniatinklio"/>
        <w:shd w:val="clear" w:color="auto" w:fill="FFFFFF"/>
        <w:contextualSpacing/>
        <w:jc w:val="both"/>
        <w:rPr>
          <w:rFonts w:ascii="Arial" w:hAnsi="Arial" w:cs="Arial"/>
          <w:b/>
          <w:bCs/>
        </w:rPr>
      </w:pPr>
      <w:r w:rsidRPr="00137493">
        <w:rPr>
          <w:rFonts w:ascii="Arial" w:hAnsi="Arial" w:cs="Arial"/>
          <w:b/>
          <w:bCs/>
        </w:rPr>
        <w:t>Dėl statinio paskirties pažymime, kad pagal STR 1.01.01:2017 „Statinių ir patalpų klasifikavimas“ statinių klasifikavimas grindžiamas statinio tipu ir statinio paskirties aprašymu, paaiškinimais. Kadangi planuojamas objektas yra technologinės įrangos aikštelė su inžinerine infrastruktūra, jis pagrįstai klasifikuojamas kaip inžinerinis statinys (kitos paskirties inžineriniai statiniai), nepriklausomai nuo vykdomos energetikos veiklos.</w:t>
      </w:r>
    </w:p>
    <w:p w14:paraId="3A3F423C" w14:textId="63F88347" w:rsidR="00137493" w:rsidRDefault="00137493" w:rsidP="00137493">
      <w:pPr>
        <w:pStyle w:val="prastasiniatinklio"/>
        <w:shd w:val="clear" w:color="auto" w:fill="FFFFFF"/>
        <w:contextualSpacing/>
        <w:jc w:val="both"/>
        <w:rPr>
          <w:rFonts w:ascii="Arial" w:hAnsi="Arial" w:cs="Arial"/>
          <w:b/>
          <w:bCs/>
        </w:rPr>
      </w:pPr>
      <w:r w:rsidRPr="00137493">
        <w:rPr>
          <w:rFonts w:ascii="Arial" w:hAnsi="Arial" w:cs="Arial"/>
          <w:b/>
          <w:bCs/>
        </w:rPr>
        <w:t>Papildomai pažymime, kad pagal STR 1.01.01:2017 „Statinių ir patalpų klasifikavimas“ pagal 251.1. punktą „statinio projekte kategoriją pagal Reglamente pateiktus požymius ir techninius parametrus nustato ir projektuojamam statiniui priskiria statinio projekto vadovas“, todėl pirkimo dokumentuose nustatyti kvalifikaciniai reikalavimai yra pagrįsti ir negali būti laikomi pertekliniais.</w:t>
      </w:r>
    </w:p>
    <w:p w14:paraId="24D381A1" w14:textId="77777777" w:rsidR="00137493" w:rsidRDefault="00137493" w:rsidP="00137493">
      <w:pPr>
        <w:pStyle w:val="prastasiniatinklio"/>
        <w:shd w:val="clear" w:color="auto" w:fill="FFFFFF"/>
        <w:contextualSpacing/>
        <w:jc w:val="both"/>
        <w:rPr>
          <w:rFonts w:ascii="Arial" w:hAnsi="Arial" w:cs="Arial"/>
          <w:b/>
          <w:bCs/>
        </w:rPr>
      </w:pPr>
    </w:p>
    <w:p w14:paraId="3F7F3667" w14:textId="77777777" w:rsidR="00137493" w:rsidRPr="007416AB" w:rsidRDefault="00137493" w:rsidP="00137493">
      <w:pPr>
        <w:pStyle w:val="prastasiniatinklio"/>
        <w:shd w:val="clear" w:color="auto" w:fill="FFFFFF"/>
        <w:contextualSpacing/>
        <w:jc w:val="both"/>
        <w:rPr>
          <w:rFonts w:ascii="Arial" w:hAnsi="Arial" w:cs="Arial"/>
          <w:b/>
          <w:bCs/>
        </w:rPr>
      </w:pPr>
    </w:p>
    <w:p w14:paraId="529571C6" w14:textId="77777777" w:rsidR="00137493" w:rsidRDefault="00137493" w:rsidP="007416AB">
      <w:pPr>
        <w:pStyle w:val="prastasiniatinklio"/>
        <w:shd w:val="clear" w:color="auto" w:fill="FFFFFF"/>
        <w:contextualSpacing/>
        <w:jc w:val="both"/>
        <w:rPr>
          <w:rFonts w:ascii="Arial" w:hAnsi="Arial" w:cs="Arial"/>
          <w:i/>
          <w:iCs/>
        </w:rPr>
      </w:pPr>
      <w:r w:rsidRPr="004D56C4">
        <w:rPr>
          <w:rFonts w:ascii="Arial" w:hAnsi="Arial" w:cs="Arial"/>
          <w:i/>
          <w:iCs/>
          <w:u w:val="single"/>
        </w:rPr>
        <w:t xml:space="preserve">Klausimas Nr. </w:t>
      </w:r>
      <w:r>
        <w:rPr>
          <w:rFonts w:ascii="Arial" w:hAnsi="Arial" w:cs="Arial"/>
          <w:i/>
          <w:iCs/>
          <w:u w:val="single"/>
        </w:rPr>
        <w:t>2</w:t>
      </w:r>
      <w:r w:rsidRPr="004D56C4">
        <w:rPr>
          <w:rFonts w:ascii="Arial" w:hAnsi="Arial" w:cs="Arial"/>
          <w:i/>
          <w:iCs/>
        </w:rPr>
        <w:t>:</w:t>
      </w:r>
      <w:r>
        <w:rPr>
          <w:rFonts w:ascii="Arial" w:hAnsi="Arial" w:cs="Arial"/>
          <w:i/>
          <w:iCs/>
        </w:rPr>
        <w:t xml:space="preserve"> </w:t>
      </w:r>
      <w:r w:rsidRPr="00137493">
        <w:rPr>
          <w:rFonts w:ascii="Arial" w:hAnsi="Arial" w:cs="Arial"/>
          <w:i/>
          <w:iCs/>
        </w:rPr>
        <w:t>Statinio projekto dalies vadovo nėra tokių atestatų kaip - bendroji, technologijos. Šiam projektui nereikės rengti tokių projekto dalių, kaip šildymo, vėdinimo ir oro kondicionavimo, nes šiuos klausimus įrangos gamintojas sprendžia.</w:t>
      </w:r>
      <w:r>
        <w:rPr>
          <w:rFonts w:ascii="Arial" w:hAnsi="Arial" w:cs="Arial"/>
          <w:i/>
          <w:iCs/>
        </w:rPr>
        <w:t xml:space="preserve"> </w:t>
      </w:r>
    </w:p>
    <w:p w14:paraId="5CE87B81" w14:textId="0A49F700" w:rsidR="00137493" w:rsidRDefault="00137493" w:rsidP="007416AB">
      <w:pPr>
        <w:pStyle w:val="prastasiniatinklio"/>
        <w:shd w:val="clear" w:color="auto" w:fill="FFFFFF"/>
        <w:contextualSpacing/>
        <w:jc w:val="both"/>
        <w:rPr>
          <w:rFonts w:ascii="Arial" w:hAnsi="Arial" w:cs="Arial"/>
          <w:i/>
          <w:iCs/>
        </w:rPr>
      </w:pPr>
      <w:r w:rsidRPr="00137493">
        <w:rPr>
          <w:rFonts w:ascii="Arial" w:hAnsi="Arial" w:cs="Arial"/>
          <w:i/>
          <w:iCs/>
        </w:rPr>
        <w:t>Prašome pratęsti kvalifikacijos terminą bent savaitei, kol bus aiškiai atsakyta dėl kvalifikacijos susijusios su darbų sritimis. Dar kartą primename, kad nėra tokių atestatų kaip - bendroji, technologijos.</w:t>
      </w:r>
    </w:p>
    <w:p w14:paraId="42D88FDA" w14:textId="77777777" w:rsidR="00137493" w:rsidRDefault="00137493" w:rsidP="007416AB">
      <w:pPr>
        <w:pStyle w:val="prastasiniatinklio"/>
        <w:shd w:val="clear" w:color="auto" w:fill="FFFFFF"/>
        <w:contextualSpacing/>
        <w:jc w:val="both"/>
        <w:rPr>
          <w:rFonts w:ascii="Arial" w:hAnsi="Arial" w:cs="Arial"/>
          <w:i/>
          <w:iCs/>
        </w:rPr>
      </w:pPr>
    </w:p>
    <w:p w14:paraId="79374F4B" w14:textId="77777777" w:rsidR="00137493" w:rsidRPr="00137493" w:rsidRDefault="00137493" w:rsidP="00137493">
      <w:pPr>
        <w:pStyle w:val="prastasiniatinklio"/>
        <w:shd w:val="clear" w:color="auto" w:fill="FFFFFF"/>
        <w:contextualSpacing/>
        <w:jc w:val="both"/>
        <w:rPr>
          <w:rFonts w:ascii="Arial" w:hAnsi="Arial" w:cs="Arial"/>
          <w:b/>
          <w:bCs/>
        </w:rPr>
      </w:pPr>
      <w:r w:rsidRPr="004D56C4">
        <w:rPr>
          <w:rFonts w:ascii="Arial" w:hAnsi="Arial" w:cs="Arial"/>
          <w:b/>
          <w:bCs/>
          <w:u w:val="single"/>
        </w:rPr>
        <w:t>Atsakymas:</w:t>
      </w:r>
      <w:r>
        <w:rPr>
          <w:rFonts w:ascii="Arial" w:hAnsi="Arial" w:cs="Arial"/>
          <w:b/>
          <w:bCs/>
          <w:u w:val="single"/>
        </w:rPr>
        <w:t xml:space="preserve"> </w:t>
      </w:r>
      <w:r w:rsidRPr="00137493">
        <w:rPr>
          <w:rFonts w:ascii="Arial" w:hAnsi="Arial" w:cs="Arial"/>
          <w:b/>
          <w:bCs/>
        </w:rPr>
        <w:t xml:space="preserve">Statinio projekto dalių sudėtį nustato statybos techninis reglamentas STR 1.04.04:2017 „Statinio projektavimas, projekto ekspertizė“ (aktuali redakcija nuo 2024-11-01). Šio reglamento 9 priede nurodytos techninio darbo projekto dalys: „1.1. bendroji; 1.2. sklypo sutvarkymo (sklypo plano); [...] 1.5. gamybos (paslaugų) technologijos; [...]“ Statinio projekto dalių rengimą reglamentuoja STR 1.04.04:2017. Pagal šio reglamento 21 punktą: „Projekto dalių rengimui vadovauja projekto dalių vadovai, turintys reikiamą kvalifikaciją. Atskiro statinio projekto kiekvienos dalies </w:t>
      </w:r>
      <w:r w:rsidRPr="00137493">
        <w:rPr>
          <w:rFonts w:ascii="Arial" w:hAnsi="Arial" w:cs="Arial"/>
          <w:b/>
          <w:bCs/>
        </w:rPr>
        <w:lastRenderedPageBreak/>
        <w:t xml:space="preserve">rengimui vadovauja vienas projekto dalies vadovas.“ Projekto vadovo ir projekto dalių vadovų vaidmenį nustato Statybos įstatymas. Pagal Statybos įstatymo 2 straipsnį (sąvokos): „Statinio projekto vadovas – architektas ar statybos inžinierius, kuris, atstovaudamas statytojo interesams, normatyviniuose statybos techniniuose dokumentuose nustatyta tvarka organizuoja statinio projekto rengimą, koordinuoja statinio projekto dalių sprendinius ir statinio projekto dalių vadovų veiklą, [...],“ „Statinio projekto dalies rengėjas – architektas ar statybos inžinierius, kuris rengia statinio projekto dalį ir yra šios statinio projekto dalies vadovas arba rengia statinio projekto dalį, vadovaujamas šios statinio projekto dalies vadovo.“ Tai reiškia, kad statinio projektas rengiamas: statinio projekto vadovo, kuris organizuoja projekto rengimą ir projekto dalių vadovų, kurie rengia atskiras projekto dalis pagal kompetenciją (turintys kvalifikacijos atestatus). </w:t>
      </w:r>
    </w:p>
    <w:p w14:paraId="59E9E343" w14:textId="77777777" w:rsidR="00137493" w:rsidRPr="00137493" w:rsidRDefault="00137493" w:rsidP="00137493">
      <w:pPr>
        <w:pStyle w:val="prastasiniatinklio"/>
        <w:shd w:val="clear" w:color="auto" w:fill="FFFFFF"/>
        <w:contextualSpacing/>
        <w:jc w:val="both"/>
        <w:rPr>
          <w:rFonts w:ascii="Arial" w:hAnsi="Arial" w:cs="Arial"/>
          <w:b/>
          <w:bCs/>
        </w:rPr>
      </w:pPr>
      <w:r w:rsidRPr="00137493">
        <w:rPr>
          <w:rFonts w:ascii="Arial" w:hAnsi="Arial" w:cs="Arial"/>
          <w:b/>
          <w:bCs/>
        </w:rPr>
        <w:t>„Bendroji“ projekto dalis nėra savarankiška specializuota projektavimo dalis. Šią projekto dalį sudaro: .“projekto dokumentų sudėties žiniaraštis (bylų pavadinimai, žymenys); bendrieji statinio rodikliai; bendrasis aiškinamasis raštas [...] trumpas technologinio proceso, technologinių inžinerinių sistemų ir kitų sprendinių pagal projekto dalis aprašymas [...]“ pagal reglamento STR 1.04.04:2017 2.8. punktą projekto vadovas: „parengia projektinių pasiūlymų ar techninio darbo projekto bendrąją dalį.“ Vadovaujantis paminėtų norminių dokumentų reikalavimais nurodytas reikalavimas projekto dalies vadovui dėl bendrosios projekto dalies suprantamas kaip reikalavimas turėti teisę eiti ypatingojo statinio projekto vadovo pareigas.</w:t>
      </w:r>
    </w:p>
    <w:p w14:paraId="7CC05448" w14:textId="77777777" w:rsidR="00137493" w:rsidRPr="00137493" w:rsidRDefault="00137493" w:rsidP="00137493">
      <w:pPr>
        <w:pStyle w:val="prastasiniatinklio"/>
        <w:shd w:val="clear" w:color="auto" w:fill="FFFFFF"/>
        <w:contextualSpacing/>
        <w:jc w:val="both"/>
        <w:rPr>
          <w:rFonts w:ascii="Arial" w:hAnsi="Arial" w:cs="Arial"/>
          <w:b/>
          <w:bCs/>
        </w:rPr>
      </w:pPr>
      <w:r w:rsidRPr="00137493">
        <w:rPr>
          <w:rFonts w:ascii="Arial" w:hAnsi="Arial" w:cs="Arial"/>
          <w:b/>
          <w:bCs/>
        </w:rPr>
        <w:t>Reikalavimas turėti technologijos projekto dalies vadovą yra keliamas siekiant užtikrinti specifinių elektros energijos kaupimo ir konvertavimo technologijų integravimą į esamą įmonės įrenginių valdymo struktūrą ir elektros tinklą. Atsižvelgiant į pirkimo objekto specifiką, šį reikalavimą atitinka specialistai, turintys galiojantį ypatingojo statinio projekto dalies vadovo atestatą Elektrotechnikos srityje.</w:t>
      </w:r>
    </w:p>
    <w:p w14:paraId="796E5147" w14:textId="77777777" w:rsidR="00137493" w:rsidRPr="00137493" w:rsidRDefault="00137493" w:rsidP="00137493">
      <w:pPr>
        <w:pStyle w:val="prastasiniatinklio"/>
        <w:shd w:val="clear" w:color="auto" w:fill="FFFFFF"/>
        <w:contextualSpacing/>
        <w:jc w:val="both"/>
        <w:rPr>
          <w:rFonts w:ascii="Arial" w:hAnsi="Arial" w:cs="Arial"/>
          <w:b/>
          <w:bCs/>
        </w:rPr>
      </w:pPr>
      <w:r w:rsidRPr="00137493">
        <w:rPr>
          <w:rFonts w:ascii="Arial" w:hAnsi="Arial" w:cs="Arial"/>
          <w:b/>
          <w:bCs/>
        </w:rPr>
        <w:t>Atsižvelgiant į aukščiau nurodytas teisės aktų nuostatas, kvalifikaciniuose reikalavimuose nurodytos projekto dalys „bendroji“ ir „technologijos“ turi būti suprantamos kaip: projekto struktūrinės dalys pagal STR 1.04.04:2017, o ne kaip kvalifikacijos atestato pavadinimai. Todėl kvalifikacinis reikalavimas bus laikomas įvykdytu, jei tiekėjas turi: statinio projekto vadovą, turintį teisę eiti statinio projekto vadovo pareigas (dengiantį bendrosios projekto dalies rengimą ir koordinavimą). Kadangi kaupiklis yra energetikos objektas, technologinius sprendinius (įrangos parinkimą, prijungimą, talpos ir galios valdymą ir pan.) rengia Elektrotechnikos projekto dalies vadovas, turintis teisę eiti statinio projekto dalies vadovo pareigas.</w:t>
      </w:r>
    </w:p>
    <w:p w14:paraId="18310C34" w14:textId="77777777" w:rsidR="00137493" w:rsidRPr="00137493" w:rsidRDefault="00137493" w:rsidP="00137493">
      <w:pPr>
        <w:pStyle w:val="prastasiniatinklio"/>
        <w:shd w:val="clear" w:color="auto" w:fill="FFFFFF"/>
        <w:contextualSpacing/>
        <w:jc w:val="both"/>
        <w:rPr>
          <w:rFonts w:ascii="Arial" w:hAnsi="Arial" w:cs="Arial"/>
          <w:b/>
          <w:bCs/>
        </w:rPr>
      </w:pPr>
      <w:r w:rsidRPr="00137493">
        <w:rPr>
          <w:rFonts w:ascii="Arial" w:hAnsi="Arial" w:cs="Arial"/>
          <w:b/>
          <w:bCs/>
        </w:rPr>
        <w:t xml:space="preserve">Atsakymas dėl techninio darbo projekto šildymo, vėdinimo ir oro kondicionavimo projekto dalies. Statinio projekto dalių sudėtį nustato statybos techninis reglamentas STR 1.04.04:2017 „Statinio projektavimas, projekto ekspertizė“ (aktuali redakcija nuo 2024-11-01). Šio reglamento 9 priede nurodytos techninio darbo projekto dalys: „1.1. bendroji; 1.2. sklypo sutvarkymo (sklypo plano); [...] 1.8. šildymo, vėdinimo ir oro kondicionavimo; [...]“. Tai reiškia, kad šildymo, vėdinimo ir oro kondicionavimo projekto dalis yra viena iš galimų statinio projekto dalių, kai statinyje projektuojamos mikroklimato ar oro apykaitos sistemos. Projektuojant elektros energijos baterijų kaupimo sistemas būtina užtikrinti: baterijų veikimo temperatūros režimą, konteinerių oro apykaitą, šilumos pertekliaus šalinimą, gaisrinės saugos ir kitus panašius sprendinius. Šie sprendiniai paprastai patenka į šildymo, vėdinimo ir oro kondicionavimo projekto dalį. </w:t>
      </w:r>
    </w:p>
    <w:p w14:paraId="299A9078" w14:textId="25908EF5" w:rsidR="00137493" w:rsidRPr="00137493" w:rsidRDefault="00137493" w:rsidP="00137493">
      <w:pPr>
        <w:pStyle w:val="prastasiniatinklio"/>
        <w:shd w:val="clear" w:color="auto" w:fill="FFFFFF"/>
        <w:contextualSpacing/>
        <w:jc w:val="both"/>
        <w:rPr>
          <w:rFonts w:ascii="Arial" w:hAnsi="Arial" w:cs="Arial"/>
          <w:b/>
          <w:bCs/>
        </w:rPr>
      </w:pPr>
      <w:r w:rsidRPr="00137493">
        <w:rPr>
          <w:rFonts w:ascii="Arial" w:hAnsi="Arial" w:cs="Arial"/>
          <w:b/>
          <w:bCs/>
        </w:rPr>
        <w:t xml:space="preserve">Papildomai pažymėtina, kad prieš rengiant elektros energijos kaupimo sistemos pirkimo dokumentus buvo atliktas planuojamo objekto triukšmo sklaidos vertinimas (pagal pasirinkto gamintojo kaupiklio skleidžiamą triukšmą, Techninės specifikacijos Priedas Nr. 7 Triukšmo sklaidos vertinimas), kuriame buvo įvertintas įrenginių keliamas triukšmas aplinkinei teritorijai. Pagal šio vertinimo rezultatus numatyta, kad siekiant užtikrinti galiojančių aplinkos triukšmo ribinių dydžių laikymąsi turi būti įrengtos triukšmo mažinimo priemonės, t. y.: aplink elektros energijos kaupimo sistemos įrenginius numatomos apie 5 m aukščio triukšmo užtvaros, papildoma triukšmo </w:t>
      </w:r>
      <w:r w:rsidRPr="00137493">
        <w:rPr>
          <w:rFonts w:ascii="Arial" w:hAnsi="Arial" w:cs="Arial"/>
          <w:b/>
          <w:bCs/>
        </w:rPr>
        <w:lastRenderedPageBreak/>
        <w:t>užtvara tarp įrenginių grupių. Tokie sprendiniai daro įtaką įrenginių natūralaus oro judėjimo ir šilumos sklaidos sąlygoms, nes triukšmo užtvaros iš dalies riboja oro cirkuliaciją aplink įrangą. Atsižvelgiant į tai, projektavimo metu turi būti įvertinta, ar dėl numatytų triukšmo mažinimo priemonių nebus apsunkintas įrenginių šilumos nuvedimas į aplinką, nebus pažeistos gamintojo nustatytos baterijų ir galios elektronikos eksploatavimo temperatūros ribos, ypač vasaros laikotarpiu, kai aukšta aplinkos oro temperatūra gali mažinti natūralaus aušinimo efektyvumą. Todėl projektavimo metu gali atsirasti poreikis numatyti papildomas mikroklimato ar šilumos šalinimo priemones, kurios gali būti įgyvendinamos per vėdinimo ar aušinimo sprendinius, arba kitomis inžinerinėmis priemonėmis, užtikrinančiomis įrenginių saugų ir patikimą veikimą. Tokiu būdu triukšmo mažinimo priemonių įrengimas yra vienas iš veiksnių, dėl kurio projektavimo metu turi būti įvertintas šilumos pašalinimo ir oro apykaitos sprendinių poreikis</w:t>
      </w:r>
      <w:r w:rsidRPr="00137493">
        <w:rPr>
          <w:rFonts w:ascii="Arial" w:hAnsi="Arial" w:cs="Arial"/>
          <w:b/>
          <w:bCs/>
        </w:rPr>
        <w:t>.</w:t>
      </w:r>
    </w:p>
    <w:p w14:paraId="4BAB9A89" w14:textId="77777777" w:rsidR="00137493" w:rsidRPr="00137493" w:rsidRDefault="00137493" w:rsidP="007416AB">
      <w:pPr>
        <w:pStyle w:val="prastasiniatinklio"/>
        <w:shd w:val="clear" w:color="auto" w:fill="FFFFFF"/>
        <w:contextualSpacing/>
        <w:jc w:val="both"/>
        <w:rPr>
          <w:rFonts w:ascii="Arial" w:hAnsi="Arial" w:cs="Arial"/>
          <w:i/>
          <w:iCs/>
        </w:rPr>
      </w:pPr>
    </w:p>
    <w:sectPr w:rsidR="00137493" w:rsidRPr="00137493" w:rsidSect="00513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3BE3"/>
    <w:multiLevelType w:val="multilevel"/>
    <w:tmpl w:val="8D7098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4B099A"/>
    <w:multiLevelType w:val="multilevel"/>
    <w:tmpl w:val="30965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A5373"/>
    <w:multiLevelType w:val="multilevel"/>
    <w:tmpl w:val="4EB004A2"/>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060F6E"/>
    <w:multiLevelType w:val="hybridMultilevel"/>
    <w:tmpl w:val="195C43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3FB0F0B"/>
    <w:multiLevelType w:val="multilevel"/>
    <w:tmpl w:val="ABC05EAE"/>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F92F74"/>
    <w:multiLevelType w:val="multilevel"/>
    <w:tmpl w:val="7F3A7174"/>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A436C1"/>
    <w:multiLevelType w:val="hybridMultilevel"/>
    <w:tmpl w:val="05E0D354"/>
    <w:lvl w:ilvl="0" w:tplc="04270001">
      <w:start w:val="1"/>
      <w:numFmt w:val="bullet"/>
      <w:lvlText w:val=""/>
      <w:lvlJc w:val="left"/>
      <w:pPr>
        <w:ind w:left="1560" w:hanging="360"/>
      </w:pPr>
      <w:rPr>
        <w:rFonts w:ascii="Symbol" w:hAnsi="Symbol" w:hint="default"/>
      </w:rPr>
    </w:lvl>
    <w:lvl w:ilvl="1" w:tplc="04270003">
      <w:start w:val="1"/>
      <w:numFmt w:val="bullet"/>
      <w:lvlText w:val="o"/>
      <w:lvlJc w:val="left"/>
      <w:pPr>
        <w:ind w:left="2280" w:hanging="360"/>
      </w:pPr>
      <w:rPr>
        <w:rFonts w:ascii="Courier New" w:hAnsi="Courier New" w:cs="Courier New" w:hint="default"/>
      </w:rPr>
    </w:lvl>
    <w:lvl w:ilvl="2" w:tplc="04270005">
      <w:start w:val="1"/>
      <w:numFmt w:val="bullet"/>
      <w:lvlText w:val=""/>
      <w:lvlJc w:val="left"/>
      <w:pPr>
        <w:ind w:left="3000" w:hanging="360"/>
      </w:pPr>
      <w:rPr>
        <w:rFonts w:ascii="Wingdings" w:hAnsi="Wingdings" w:hint="default"/>
      </w:rPr>
    </w:lvl>
    <w:lvl w:ilvl="3" w:tplc="04270001">
      <w:start w:val="1"/>
      <w:numFmt w:val="bullet"/>
      <w:lvlText w:val=""/>
      <w:lvlJc w:val="left"/>
      <w:pPr>
        <w:ind w:left="3720" w:hanging="360"/>
      </w:pPr>
      <w:rPr>
        <w:rFonts w:ascii="Symbol" w:hAnsi="Symbol" w:hint="default"/>
      </w:rPr>
    </w:lvl>
    <w:lvl w:ilvl="4" w:tplc="04270003">
      <w:start w:val="1"/>
      <w:numFmt w:val="bullet"/>
      <w:lvlText w:val="o"/>
      <w:lvlJc w:val="left"/>
      <w:pPr>
        <w:ind w:left="4440" w:hanging="360"/>
      </w:pPr>
      <w:rPr>
        <w:rFonts w:ascii="Courier New" w:hAnsi="Courier New" w:cs="Courier New" w:hint="default"/>
      </w:rPr>
    </w:lvl>
    <w:lvl w:ilvl="5" w:tplc="04270005">
      <w:start w:val="1"/>
      <w:numFmt w:val="bullet"/>
      <w:lvlText w:val=""/>
      <w:lvlJc w:val="left"/>
      <w:pPr>
        <w:ind w:left="5160" w:hanging="360"/>
      </w:pPr>
      <w:rPr>
        <w:rFonts w:ascii="Wingdings" w:hAnsi="Wingdings" w:hint="default"/>
      </w:rPr>
    </w:lvl>
    <w:lvl w:ilvl="6" w:tplc="04270001">
      <w:start w:val="1"/>
      <w:numFmt w:val="bullet"/>
      <w:lvlText w:val=""/>
      <w:lvlJc w:val="left"/>
      <w:pPr>
        <w:ind w:left="5880" w:hanging="360"/>
      </w:pPr>
      <w:rPr>
        <w:rFonts w:ascii="Symbol" w:hAnsi="Symbol" w:hint="default"/>
      </w:rPr>
    </w:lvl>
    <w:lvl w:ilvl="7" w:tplc="04270003">
      <w:start w:val="1"/>
      <w:numFmt w:val="bullet"/>
      <w:lvlText w:val="o"/>
      <w:lvlJc w:val="left"/>
      <w:pPr>
        <w:ind w:left="6600" w:hanging="360"/>
      </w:pPr>
      <w:rPr>
        <w:rFonts w:ascii="Courier New" w:hAnsi="Courier New" w:cs="Courier New" w:hint="default"/>
      </w:rPr>
    </w:lvl>
    <w:lvl w:ilvl="8" w:tplc="04270005">
      <w:start w:val="1"/>
      <w:numFmt w:val="bullet"/>
      <w:lvlText w:val=""/>
      <w:lvlJc w:val="left"/>
      <w:pPr>
        <w:ind w:left="7320" w:hanging="360"/>
      </w:pPr>
      <w:rPr>
        <w:rFonts w:ascii="Wingdings" w:hAnsi="Wingdings" w:hint="default"/>
      </w:rPr>
    </w:lvl>
  </w:abstractNum>
  <w:abstractNum w:abstractNumId="7" w15:restartNumberingAfterBreak="0">
    <w:nsid w:val="75F16D51"/>
    <w:multiLevelType w:val="multilevel"/>
    <w:tmpl w:val="24146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00193"/>
    <w:multiLevelType w:val="hybridMultilevel"/>
    <w:tmpl w:val="F71EFD28"/>
    <w:lvl w:ilvl="0" w:tplc="B3622CD2">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AA303C8"/>
    <w:multiLevelType w:val="multilevel"/>
    <w:tmpl w:val="9A0AF6CC"/>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187CB6"/>
    <w:multiLevelType w:val="multilevel"/>
    <w:tmpl w:val="2F02CBF2"/>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1628608">
    <w:abstractNumId w:val="1"/>
  </w:num>
  <w:num w:numId="2" w16cid:durableId="689798961">
    <w:abstractNumId w:val="7"/>
  </w:num>
  <w:num w:numId="3" w16cid:durableId="64493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830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4633143">
    <w:abstractNumId w:val="6"/>
  </w:num>
  <w:num w:numId="6" w16cid:durableId="40777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1237919">
    <w:abstractNumId w:val="2"/>
  </w:num>
  <w:num w:numId="8" w16cid:durableId="1769765434">
    <w:abstractNumId w:val="9"/>
  </w:num>
  <w:num w:numId="9" w16cid:durableId="524444379">
    <w:abstractNumId w:val="4"/>
  </w:num>
  <w:num w:numId="10" w16cid:durableId="72363009">
    <w:abstractNumId w:val="5"/>
  </w:num>
  <w:num w:numId="11" w16cid:durableId="32780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82"/>
    <w:rsid w:val="00027455"/>
    <w:rsid w:val="00082D93"/>
    <w:rsid w:val="000E3890"/>
    <w:rsid w:val="00104155"/>
    <w:rsid w:val="001277E5"/>
    <w:rsid w:val="00127E8E"/>
    <w:rsid w:val="00134937"/>
    <w:rsid w:val="0013583C"/>
    <w:rsid w:val="00137493"/>
    <w:rsid w:val="00170E08"/>
    <w:rsid w:val="001745D4"/>
    <w:rsid w:val="00194215"/>
    <w:rsid w:val="00194F42"/>
    <w:rsid w:val="001A1162"/>
    <w:rsid w:val="001C5F5B"/>
    <w:rsid w:val="001F46F1"/>
    <w:rsid w:val="002276D3"/>
    <w:rsid w:val="00232BD1"/>
    <w:rsid w:val="00291D1C"/>
    <w:rsid w:val="002A6CB6"/>
    <w:rsid w:val="002F7F41"/>
    <w:rsid w:val="00301F2C"/>
    <w:rsid w:val="00304166"/>
    <w:rsid w:val="00311C97"/>
    <w:rsid w:val="003730E1"/>
    <w:rsid w:val="0038637F"/>
    <w:rsid w:val="003A2AE2"/>
    <w:rsid w:val="003C267C"/>
    <w:rsid w:val="003C379A"/>
    <w:rsid w:val="003C4FC5"/>
    <w:rsid w:val="00435291"/>
    <w:rsid w:val="00460567"/>
    <w:rsid w:val="004D56C4"/>
    <w:rsid w:val="004E66B5"/>
    <w:rsid w:val="00513AB5"/>
    <w:rsid w:val="005176A2"/>
    <w:rsid w:val="00523D70"/>
    <w:rsid w:val="005244F1"/>
    <w:rsid w:val="005416DC"/>
    <w:rsid w:val="00575E92"/>
    <w:rsid w:val="00590697"/>
    <w:rsid w:val="005E479F"/>
    <w:rsid w:val="005F2601"/>
    <w:rsid w:val="005F35DE"/>
    <w:rsid w:val="005F4B5C"/>
    <w:rsid w:val="00625184"/>
    <w:rsid w:val="0064078D"/>
    <w:rsid w:val="00664873"/>
    <w:rsid w:val="006817D8"/>
    <w:rsid w:val="00696782"/>
    <w:rsid w:val="006D520A"/>
    <w:rsid w:val="006E2FBE"/>
    <w:rsid w:val="006F2A33"/>
    <w:rsid w:val="00717A3D"/>
    <w:rsid w:val="007416AB"/>
    <w:rsid w:val="0074527F"/>
    <w:rsid w:val="00746B43"/>
    <w:rsid w:val="00794150"/>
    <w:rsid w:val="007A7829"/>
    <w:rsid w:val="007B3351"/>
    <w:rsid w:val="007C10F1"/>
    <w:rsid w:val="007D3605"/>
    <w:rsid w:val="008213E1"/>
    <w:rsid w:val="00821ABB"/>
    <w:rsid w:val="00842112"/>
    <w:rsid w:val="008468FF"/>
    <w:rsid w:val="00856182"/>
    <w:rsid w:val="008638B5"/>
    <w:rsid w:val="00865ABE"/>
    <w:rsid w:val="008760D7"/>
    <w:rsid w:val="0088722E"/>
    <w:rsid w:val="00892F5C"/>
    <w:rsid w:val="008939D9"/>
    <w:rsid w:val="008D05F4"/>
    <w:rsid w:val="008E27CF"/>
    <w:rsid w:val="008E74C8"/>
    <w:rsid w:val="009018D2"/>
    <w:rsid w:val="00910F18"/>
    <w:rsid w:val="00920F59"/>
    <w:rsid w:val="0093660B"/>
    <w:rsid w:val="009540CB"/>
    <w:rsid w:val="009674B8"/>
    <w:rsid w:val="009801B0"/>
    <w:rsid w:val="009C0867"/>
    <w:rsid w:val="009D4CE5"/>
    <w:rsid w:val="00A0454F"/>
    <w:rsid w:val="00A66B39"/>
    <w:rsid w:val="00A86DDC"/>
    <w:rsid w:val="00AA089F"/>
    <w:rsid w:val="00AD1A8C"/>
    <w:rsid w:val="00B52486"/>
    <w:rsid w:val="00B65F20"/>
    <w:rsid w:val="00B6644C"/>
    <w:rsid w:val="00B67ECF"/>
    <w:rsid w:val="00B805FA"/>
    <w:rsid w:val="00BB293F"/>
    <w:rsid w:val="00BE018F"/>
    <w:rsid w:val="00BF5FA0"/>
    <w:rsid w:val="00C30B5C"/>
    <w:rsid w:val="00C3426A"/>
    <w:rsid w:val="00C44379"/>
    <w:rsid w:val="00C62B79"/>
    <w:rsid w:val="00C67EBE"/>
    <w:rsid w:val="00C83521"/>
    <w:rsid w:val="00C90918"/>
    <w:rsid w:val="00CA0588"/>
    <w:rsid w:val="00CB0B04"/>
    <w:rsid w:val="00CD17FD"/>
    <w:rsid w:val="00D31C6C"/>
    <w:rsid w:val="00D37730"/>
    <w:rsid w:val="00D37EC9"/>
    <w:rsid w:val="00D52E31"/>
    <w:rsid w:val="00D6124A"/>
    <w:rsid w:val="00D72D85"/>
    <w:rsid w:val="00D9164A"/>
    <w:rsid w:val="00DA0668"/>
    <w:rsid w:val="00DC411E"/>
    <w:rsid w:val="00E11723"/>
    <w:rsid w:val="00E61037"/>
    <w:rsid w:val="00E829A1"/>
    <w:rsid w:val="00EB0337"/>
    <w:rsid w:val="00EC0B7C"/>
    <w:rsid w:val="00EC6A1D"/>
    <w:rsid w:val="00ED72A4"/>
    <w:rsid w:val="00F2665C"/>
    <w:rsid w:val="00F45C1D"/>
    <w:rsid w:val="00F9756D"/>
    <w:rsid w:val="00FB320C"/>
    <w:rsid w:val="00FF77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B54E"/>
  <w15:chartTrackingRefBased/>
  <w15:docId w15:val="{059C2350-EC9C-418E-A958-3351E034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1F2C"/>
  </w:style>
  <w:style w:type="paragraph" w:styleId="Antrat1">
    <w:name w:val="heading 1"/>
    <w:basedOn w:val="prastasis"/>
    <w:next w:val="prastasis"/>
    <w:link w:val="Antrat1Diagrama"/>
    <w:uiPriority w:val="9"/>
    <w:qFormat/>
    <w:rsid w:val="00027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56182"/>
    <w:pPr>
      <w:spacing w:before="100" w:beforeAutospacing="1" w:after="100" w:afterAutospacing="1" w:line="240" w:lineRule="auto"/>
    </w:pPr>
    <w:rPr>
      <w:rFonts w:ascii="Calibri" w:hAnsi="Calibri" w:cs="Calibri"/>
      <w:lang w:eastAsia="lt-LT"/>
    </w:rPr>
  </w:style>
  <w:style w:type="character" w:customStyle="1" w:styleId="Antrat1Diagrama">
    <w:name w:val="Antraštė 1 Diagrama"/>
    <w:basedOn w:val="Numatytasispastraiposriftas"/>
    <w:link w:val="Antrat1"/>
    <w:uiPriority w:val="9"/>
    <w:rsid w:val="00027455"/>
    <w:rPr>
      <w:rFonts w:asciiTheme="majorHAnsi" w:eastAsiaTheme="majorEastAsia" w:hAnsiTheme="majorHAnsi" w:cstheme="majorBidi"/>
      <w:color w:val="2F5496" w:themeColor="accent1" w:themeShade="BF"/>
      <w:sz w:val="32"/>
      <w:szCs w:val="32"/>
    </w:rPr>
  </w:style>
  <w:style w:type="character" w:styleId="Grietas">
    <w:name w:val="Strong"/>
    <w:basedOn w:val="Numatytasispastraiposriftas"/>
    <w:uiPriority w:val="22"/>
    <w:qFormat/>
    <w:rsid w:val="00F9756D"/>
    <w:rPr>
      <w:b/>
      <w:bCs/>
    </w:rPr>
  </w:style>
  <w:style w:type="character" w:styleId="Emfaz">
    <w:name w:val="Emphasis"/>
    <w:basedOn w:val="Numatytasispastraiposriftas"/>
    <w:uiPriority w:val="20"/>
    <w:qFormat/>
    <w:rsid w:val="00F9756D"/>
    <w:rPr>
      <w:i/>
      <w:iCs/>
    </w:rPr>
  </w:style>
  <w:style w:type="paragraph" w:styleId="Sraopastraipa">
    <w:name w:val="List Paragraph"/>
    <w:basedOn w:val="prastasis"/>
    <w:uiPriority w:val="34"/>
    <w:qFormat/>
    <w:rsid w:val="00B52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0025">
      <w:bodyDiv w:val="1"/>
      <w:marLeft w:val="0"/>
      <w:marRight w:val="0"/>
      <w:marTop w:val="0"/>
      <w:marBottom w:val="0"/>
      <w:divBdr>
        <w:top w:val="none" w:sz="0" w:space="0" w:color="auto"/>
        <w:left w:val="none" w:sz="0" w:space="0" w:color="auto"/>
        <w:bottom w:val="none" w:sz="0" w:space="0" w:color="auto"/>
        <w:right w:val="none" w:sz="0" w:space="0" w:color="auto"/>
      </w:divBdr>
    </w:div>
    <w:div w:id="113255924">
      <w:bodyDiv w:val="1"/>
      <w:marLeft w:val="0"/>
      <w:marRight w:val="0"/>
      <w:marTop w:val="0"/>
      <w:marBottom w:val="0"/>
      <w:divBdr>
        <w:top w:val="none" w:sz="0" w:space="0" w:color="auto"/>
        <w:left w:val="none" w:sz="0" w:space="0" w:color="auto"/>
        <w:bottom w:val="none" w:sz="0" w:space="0" w:color="auto"/>
        <w:right w:val="none" w:sz="0" w:space="0" w:color="auto"/>
      </w:divBdr>
    </w:div>
    <w:div w:id="136530636">
      <w:bodyDiv w:val="1"/>
      <w:marLeft w:val="0"/>
      <w:marRight w:val="0"/>
      <w:marTop w:val="0"/>
      <w:marBottom w:val="0"/>
      <w:divBdr>
        <w:top w:val="none" w:sz="0" w:space="0" w:color="auto"/>
        <w:left w:val="none" w:sz="0" w:space="0" w:color="auto"/>
        <w:bottom w:val="none" w:sz="0" w:space="0" w:color="auto"/>
        <w:right w:val="none" w:sz="0" w:space="0" w:color="auto"/>
      </w:divBdr>
    </w:div>
    <w:div w:id="250354921">
      <w:bodyDiv w:val="1"/>
      <w:marLeft w:val="0"/>
      <w:marRight w:val="0"/>
      <w:marTop w:val="0"/>
      <w:marBottom w:val="0"/>
      <w:divBdr>
        <w:top w:val="none" w:sz="0" w:space="0" w:color="auto"/>
        <w:left w:val="none" w:sz="0" w:space="0" w:color="auto"/>
        <w:bottom w:val="none" w:sz="0" w:space="0" w:color="auto"/>
        <w:right w:val="none" w:sz="0" w:space="0" w:color="auto"/>
      </w:divBdr>
    </w:div>
    <w:div w:id="326787826">
      <w:bodyDiv w:val="1"/>
      <w:marLeft w:val="0"/>
      <w:marRight w:val="0"/>
      <w:marTop w:val="0"/>
      <w:marBottom w:val="0"/>
      <w:divBdr>
        <w:top w:val="none" w:sz="0" w:space="0" w:color="auto"/>
        <w:left w:val="none" w:sz="0" w:space="0" w:color="auto"/>
        <w:bottom w:val="none" w:sz="0" w:space="0" w:color="auto"/>
        <w:right w:val="none" w:sz="0" w:space="0" w:color="auto"/>
      </w:divBdr>
    </w:div>
    <w:div w:id="334653882">
      <w:bodyDiv w:val="1"/>
      <w:marLeft w:val="0"/>
      <w:marRight w:val="0"/>
      <w:marTop w:val="0"/>
      <w:marBottom w:val="0"/>
      <w:divBdr>
        <w:top w:val="none" w:sz="0" w:space="0" w:color="auto"/>
        <w:left w:val="none" w:sz="0" w:space="0" w:color="auto"/>
        <w:bottom w:val="none" w:sz="0" w:space="0" w:color="auto"/>
        <w:right w:val="none" w:sz="0" w:space="0" w:color="auto"/>
      </w:divBdr>
    </w:div>
    <w:div w:id="417018534">
      <w:bodyDiv w:val="1"/>
      <w:marLeft w:val="0"/>
      <w:marRight w:val="0"/>
      <w:marTop w:val="0"/>
      <w:marBottom w:val="0"/>
      <w:divBdr>
        <w:top w:val="none" w:sz="0" w:space="0" w:color="auto"/>
        <w:left w:val="none" w:sz="0" w:space="0" w:color="auto"/>
        <w:bottom w:val="none" w:sz="0" w:space="0" w:color="auto"/>
        <w:right w:val="none" w:sz="0" w:space="0" w:color="auto"/>
      </w:divBdr>
    </w:div>
    <w:div w:id="474296253">
      <w:bodyDiv w:val="1"/>
      <w:marLeft w:val="0"/>
      <w:marRight w:val="0"/>
      <w:marTop w:val="0"/>
      <w:marBottom w:val="0"/>
      <w:divBdr>
        <w:top w:val="none" w:sz="0" w:space="0" w:color="auto"/>
        <w:left w:val="none" w:sz="0" w:space="0" w:color="auto"/>
        <w:bottom w:val="none" w:sz="0" w:space="0" w:color="auto"/>
        <w:right w:val="none" w:sz="0" w:space="0" w:color="auto"/>
      </w:divBdr>
    </w:div>
    <w:div w:id="484051841">
      <w:bodyDiv w:val="1"/>
      <w:marLeft w:val="0"/>
      <w:marRight w:val="0"/>
      <w:marTop w:val="0"/>
      <w:marBottom w:val="0"/>
      <w:divBdr>
        <w:top w:val="none" w:sz="0" w:space="0" w:color="auto"/>
        <w:left w:val="none" w:sz="0" w:space="0" w:color="auto"/>
        <w:bottom w:val="none" w:sz="0" w:space="0" w:color="auto"/>
        <w:right w:val="none" w:sz="0" w:space="0" w:color="auto"/>
      </w:divBdr>
    </w:div>
    <w:div w:id="555819652">
      <w:bodyDiv w:val="1"/>
      <w:marLeft w:val="0"/>
      <w:marRight w:val="0"/>
      <w:marTop w:val="0"/>
      <w:marBottom w:val="0"/>
      <w:divBdr>
        <w:top w:val="none" w:sz="0" w:space="0" w:color="auto"/>
        <w:left w:val="none" w:sz="0" w:space="0" w:color="auto"/>
        <w:bottom w:val="none" w:sz="0" w:space="0" w:color="auto"/>
        <w:right w:val="none" w:sz="0" w:space="0" w:color="auto"/>
      </w:divBdr>
    </w:div>
    <w:div w:id="720322442">
      <w:bodyDiv w:val="1"/>
      <w:marLeft w:val="0"/>
      <w:marRight w:val="0"/>
      <w:marTop w:val="0"/>
      <w:marBottom w:val="0"/>
      <w:divBdr>
        <w:top w:val="none" w:sz="0" w:space="0" w:color="auto"/>
        <w:left w:val="none" w:sz="0" w:space="0" w:color="auto"/>
        <w:bottom w:val="none" w:sz="0" w:space="0" w:color="auto"/>
        <w:right w:val="none" w:sz="0" w:space="0" w:color="auto"/>
      </w:divBdr>
    </w:div>
    <w:div w:id="852652120">
      <w:bodyDiv w:val="1"/>
      <w:marLeft w:val="0"/>
      <w:marRight w:val="0"/>
      <w:marTop w:val="0"/>
      <w:marBottom w:val="0"/>
      <w:divBdr>
        <w:top w:val="none" w:sz="0" w:space="0" w:color="auto"/>
        <w:left w:val="none" w:sz="0" w:space="0" w:color="auto"/>
        <w:bottom w:val="none" w:sz="0" w:space="0" w:color="auto"/>
        <w:right w:val="none" w:sz="0" w:space="0" w:color="auto"/>
      </w:divBdr>
    </w:div>
    <w:div w:id="894588617">
      <w:bodyDiv w:val="1"/>
      <w:marLeft w:val="0"/>
      <w:marRight w:val="0"/>
      <w:marTop w:val="0"/>
      <w:marBottom w:val="0"/>
      <w:divBdr>
        <w:top w:val="none" w:sz="0" w:space="0" w:color="auto"/>
        <w:left w:val="none" w:sz="0" w:space="0" w:color="auto"/>
        <w:bottom w:val="none" w:sz="0" w:space="0" w:color="auto"/>
        <w:right w:val="none" w:sz="0" w:space="0" w:color="auto"/>
      </w:divBdr>
    </w:div>
    <w:div w:id="925458630">
      <w:bodyDiv w:val="1"/>
      <w:marLeft w:val="0"/>
      <w:marRight w:val="0"/>
      <w:marTop w:val="0"/>
      <w:marBottom w:val="0"/>
      <w:divBdr>
        <w:top w:val="none" w:sz="0" w:space="0" w:color="auto"/>
        <w:left w:val="none" w:sz="0" w:space="0" w:color="auto"/>
        <w:bottom w:val="none" w:sz="0" w:space="0" w:color="auto"/>
        <w:right w:val="none" w:sz="0" w:space="0" w:color="auto"/>
      </w:divBdr>
    </w:div>
    <w:div w:id="1031566870">
      <w:bodyDiv w:val="1"/>
      <w:marLeft w:val="0"/>
      <w:marRight w:val="0"/>
      <w:marTop w:val="0"/>
      <w:marBottom w:val="0"/>
      <w:divBdr>
        <w:top w:val="none" w:sz="0" w:space="0" w:color="auto"/>
        <w:left w:val="none" w:sz="0" w:space="0" w:color="auto"/>
        <w:bottom w:val="none" w:sz="0" w:space="0" w:color="auto"/>
        <w:right w:val="none" w:sz="0" w:space="0" w:color="auto"/>
      </w:divBdr>
    </w:div>
    <w:div w:id="1193960546">
      <w:bodyDiv w:val="1"/>
      <w:marLeft w:val="0"/>
      <w:marRight w:val="0"/>
      <w:marTop w:val="0"/>
      <w:marBottom w:val="0"/>
      <w:divBdr>
        <w:top w:val="none" w:sz="0" w:space="0" w:color="auto"/>
        <w:left w:val="none" w:sz="0" w:space="0" w:color="auto"/>
        <w:bottom w:val="none" w:sz="0" w:space="0" w:color="auto"/>
        <w:right w:val="none" w:sz="0" w:space="0" w:color="auto"/>
      </w:divBdr>
    </w:div>
    <w:div w:id="1198469883">
      <w:bodyDiv w:val="1"/>
      <w:marLeft w:val="0"/>
      <w:marRight w:val="0"/>
      <w:marTop w:val="0"/>
      <w:marBottom w:val="0"/>
      <w:divBdr>
        <w:top w:val="none" w:sz="0" w:space="0" w:color="auto"/>
        <w:left w:val="none" w:sz="0" w:space="0" w:color="auto"/>
        <w:bottom w:val="none" w:sz="0" w:space="0" w:color="auto"/>
        <w:right w:val="none" w:sz="0" w:space="0" w:color="auto"/>
      </w:divBdr>
    </w:div>
    <w:div w:id="1228221170">
      <w:bodyDiv w:val="1"/>
      <w:marLeft w:val="0"/>
      <w:marRight w:val="0"/>
      <w:marTop w:val="0"/>
      <w:marBottom w:val="0"/>
      <w:divBdr>
        <w:top w:val="none" w:sz="0" w:space="0" w:color="auto"/>
        <w:left w:val="none" w:sz="0" w:space="0" w:color="auto"/>
        <w:bottom w:val="none" w:sz="0" w:space="0" w:color="auto"/>
        <w:right w:val="none" w:sz="0" w:space="0" w:color="auto"/>
      </w:divBdr>
    </w:div>
    <w:div w:id="1287850589">
      <w:bodyDiv w:val="1"/>
      <w:marLeft w:val="0"/>
      <w:marRight w:val="0"/>
      <w:marTop w:val="0"/>
      <w:marBottom w:val="0"/>
      <w:divBdr>
        <w:top w:val="none" w:sz="0" w:space="0" w:color="auto"/>
        <w:left w:val="none" w:sz="0" w:space="0" w:color="auto"/>
        <w:bottom w:val="none" w:sz="0" w:space="0" w:color="auto"/>
        <w:right w:val="none" w:sz="0" w:space="0" w:color="auto"/>
      </w:divBdr>
    </w:div>
    <w:div w:id="1565139671">
      <w:bodyDiv w:val="1"/>
      <w:marLeft w:val="0"/>
      <w:marRight w:val="0"/>
      <w:marTop w:val="0"/>
      <w:marBottom w:val="0"/>
      <w:divBdr>
        <w:top w:val="none" w:sz="0" w:space="0" w:color="auto"/>
        <w:left w:val="none" w:sz="0" w:space="0" w:color="auto"/>
        <w:bottom w:val="none" w:sz="0" w:space="0" w:color="auto"/>
        <w:right w:val="none" w:sz="0" w:space="0" w:color="auto"/>
      </w:divBdr>
    </w:div>
    <w:div w:id="1771732924">
      <w:bodyDiv w:val="1"/>
      <w:marLeft w:val="0"/>
      <w:marRight w:val="0"/>
      <w:marTop w:val="0"/>
      <w:marBottom w:val="0"/>
      <w:divBdr>
        <w:top w:val="none" w:sz="0" w:space="0" w:color="auto"/>
        <w:left w:val="none" w:sz="0" w:space="0" w:color="auto"/>
        <w:bottom w:val="none" w:sz="0" w:space="0" w:color="auto"/>
        <w:right w:val="none" w:sz="0" w:space="0" w:color="auto"/>
      </w:divBdr>
    </w:div>
    <w:div w:id="1792437376">
      <w:bodyDiv w:val="1"/>
      <w:marLeft w:val="0"/>
      <w:marRight w:val="0"/>
      <w:marTop w:val="0"/>
      <w:marBottom w:val="0"/>
      <w:divBdr>
        <w:top w:val="none" w:sz="0" w:space="0" w:color="auto"/>
        <w:left w:val="none" w:sz="0" w:space="0" w:color="auto"/>
        <w:bottom w:val="none" w:sz="0" w:space="0" w:color="auto"/>
        <w:right w:val="none" w:sz="0" w:space="0" w:color="auto"/>
      </w:divBdr>
    </w:div>
    <w:div w:id="1844121275">
      <w:bodyDiv w:val="1"/>
      <w:marLeft w:val="0"/>
      <w:marRight w:val="0"/>
      <w:marTop w:val="0"/>
      <w:marBottom w:val="0"/>
      <w:divBdr>
        <w:top w:val="none" w:sz="0" w:space="0" w:color="auto"/>
        <w:left w:val="none" w:sz="0" w:space="0" w:color="auto"/>
        <w:bottom w:val="none" w:sz="0" w:space="0" w:color="auto"/>
        <w:right w:val="none" w:sz="0" w:space="0" w:color="auto"/>
      </w:divBdr>
    </w:div>
    <w:div w:id="1872761511">
      <w:bodyDiv w:val="1"/>
      <w:marLeft w:val="0"/>
      <w:marRight w:val="0"/>
      <w:marTop w:val="0"/>
      <w:marBottom w:val="0"/>
      <w:divBdr>
        <w:top w:val="none" w:sz="0" w:space="0" w:color="auto"/>
        <w:left w:val="none" w:sz="0" w:space="0" w:color="auto"/>
        <w:bottom w:val="none" w:sz="0" w:space="0" w:color="auto"/>
        <w:right w:val="none" w:sz="0" w:space="0" w:color="auto"/>
      </w:divBdr>
    </w:div>
    <w:div w:id="1930849073">
      <w:bodyDiv w:val="1"/>
      <w:marLeft w:val="0"/>
      <w:marRight w:val="0"/>
      <w:marTop w:val="0"/>
      <w:marBottom w:val="0"/>
      <w:divBdr>
        <w:top w:val="none" w:sz="0" w:space="0" w:color="auto"/>
        <w:left w:val="none" w:sz="0" w:space="0" w:color="auto"/>
        <w:bottom w:val="none" w:sz="0" w:space="0" w:color="auto"/>
        <w:right w:val="none" w:sz="0" w:space="0" w:color="auto"/>
      </w:divBdr>
    </w:div>
    <w:div w:id="1941643547">
      <w:bodyDiv w:val="1"/>
      <w:marLeft w:val="0"/>
      <w:marRight w:val="0"/>
      <w:marTop w:val="0"/>
      <w:marBottom w:val="0"/>
      <w:divBdr>
        <w:top w:val="none" w:sz="0" w:space="0" w:color="auto"/>
        <w:left w:val="none" w:sz="0" w:space="0" w:color="auto"/>
        <w:bottom w:val="none" w:sz="0" w:space="0" w:color="auto"/>
        <w:right w:val="none" w:sz="0" w:space="0" w:color="auto"/>
      </w:divBdr>
    </w:div>
    <w:div w:id="194334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5814</Words>
  <Characters>3315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Justina Baltulionienė</cp:lastModifiedBy>
  <cp:revision>24</cp:revision>
  <cp:lastPrinted>2026-03-31T10:58:00Z</cp:lastPrinted>
  <dcterms:created xsi:type="dcterms:W3CDTF">2026-03-05T08:01:00Z</dcterms:created>
  <dcterms:modified xsi:type="dcterms:W3CDTF">2026-04-07T06:22:00Z</dcterms:modified>
</cp:coreProperties>
</file>