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A142D2">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A142D2">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A142D2">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A142D2">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A142D2">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A142D2">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A142D2">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A142D2">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A142D2">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A142D2">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A142D2">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A142D2">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A142D2">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A142D2">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A142D2">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A142D2">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A142D2">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A142D2">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A142D2">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A142D2">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A142D2">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A142D2">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A142D2">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A142D2">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A142D2">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C2D3D1-FA52-4741-8FEB-C318024D0FA2}"/>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21</Pages>
  <Words>9135</Words>
  <Characters>66048</Characters>
  <Application>Microsoft Office Word</Application>
  <DocSecurity>0</DocSecurity>
  <Lines>1200</Lines>
  <Paragraphs>393</Paragraphs>
  <ScaleCrop>false</ScaleCrop>
  <Company/>
  <LinksUpToDate>false</LinksUpToDate>
  <CharactersWithSpaces>74790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512</cp:revision>
  <dcterms:created xsi:type="dcterms:W3CDTF">2023-01-10T08:21:00Z</dcterms:created>
  <dcterms:modified xsi:type="dcterms:W3CDTF">2025-10-25T10:50:00Z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