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BodyText"/>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BodyText"/>
        <w:ind w:firstLine="0"/>
        <w:rPr>
          <w:rFonts w:ascii="Arial" w:hAnsi="Arial" w:cs="Arial"/>
          <w:sz w:val="22"/>
          <w:szCs w:val="22"/>
        </w:rPr>
      </w:pPr>
    </w:p>
    <w:p w14:paraId="144BB154" w14:textId="770FD097" w:rsidR="00C43D47" w:rsidRPr="00DA7C27" w:rsidRDefault="00CF7605" w:rsidP="00C43D47">
      <w:pPr>
        <w:pStyle w:val="BodyText"/>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BodyText"/>
        <w:ind w:firstLine="0"/>
        <w:jc w:val="center"/>
        <w:rPr>
          <w:rFonts w:ascii="Arial" w:hAnsi="Arial" w:cs="Arial"/>
          <w:color w:val="FF0000"/>
          <w:sz w:val="22"/>
          <w:szCs w:val="22"/>
        </w:rPr>
      </w:pPr>
    </w:p>
    <w:p w14:paraId="07EA6677" w14:textId="20C49932" w:rsidR="00460514" w:rsidRDefault="008E26FD" w:rsidP="00C43D47">
      <w:pPr>
        <w:pStyle w:val="BodyText"/>
        <w:ind w:firstLine="0"/>
        <w:jc w:val="center"/>
        <w:rPr>
          <w:rFonts w:ascii="Arial" w:hAnsi="Arial" w:cs="Arial"/>
          <w:sz w:val="22"/>
          <w:szCs w:val="22"/>
        </w:rPr>
      </w:pPr>
      <w:r w:rsidRPr="008E26FD">
        <w:rPr>
          <w:rFonts w:ascii="Arial" w:hAnsi="Arial" w:cs="Arial"/>
          <w:b/>
          <w:bCs/>
          <w:sz w:val="22"/>
          <w:szCs w:val="22"/>
        </w:rPr>
        <w:t>Krašto kelio Nr. 211 Linkuva–Žeimelis ruožo nuo 0,90 iki 7,95 km rekonstravimo projekto parengimas, projekto vykdymo priežiūra ir darbų atlikimas</w:t>
      </w:r>
      <w:r w:rsidRPr="008E26FD">
        <w:rPr>
          <w:rFonts w:ascii="Arial" w:hAnsi="Arial" w:cs="Arial"/>
          <w:sz w:val="22"/>
          <w:szCs w:val="22"/>
        </w:rPr>
        <w:t xml:space="preserve"> </w:t>
      </w:r>
      <w:r w:rsidR="00460514" w:rsidRPr="00460514">
        <w:rPr>
          <w:rFonts w:ascii="Arial" w:hAnsi="Arial" w:cs="Arial"/>
          <w:sz w:val="22"/>
          <w:szCs w:val="22"/>
        </w:rPr>
        <w:t xml:space="preserve"> </w:t>
      </w:r>
    </w:p>
    <w:p w14:paraId="5AA7FC5B" w14:textId="77777777" w:rsidR="00460514" w:rsidRDefault="00460514" w:rsidP="00C43D47">
      <w:pPr>
        <w:pStyle w:val="BodyText"/>
        <w:ind w:firstLine="0"/>
        <w:jc w:val="center"/>
        <w:rPr>
          <w:rFonts w:ascii="Arial" w:hAnsi="Arial" w:cs="Arial"/>
          <w:sz w:val="22"/>
          <w:szCs w:val="22"/>
        </w:rPr>
      </w:pPr>
    </w:p>
    <w:p w14:paraId="2B021B41" w14:textId="30492EAA" w:rsidR="00460514" w:rsidRDefault="008E26FD" w:rsidP="00C43D47">
      <w:pPr>
        <w:pStyle w:val="BodyText"/>
        <w:ind w:firstLine="0"/>
        <w:jc w:val="center"/>
        <w:rPr>
          <w:rFonts w:ascii="Arial" w:hAnsi="Arial" w:cs="Arial"/>
          <w:sz w:val="22"/>
          <w:szCs w:val="22"/>
        </w:rPr>
      </w:pPr>
      <w:r>
        <w:rPr>
          <w:rFonts w:ascii="Arial" w:hAnsi="Arial" w:cs="Arial"/>
          <w:sz w:val="22"/>
          <w:szCs w:val="22"/>
        </w:rPr>
        <w:t>2026-04-</w:t>
      </w:r>
    </w:p>
    <w:p w14:paraId="40652F14" w14:textId="77777777" w:rsidR="00460514" w:rsidRDefault="00460514" w:rsidP="00C43D47">
      <w:pPr>
        <w:pStyle w:val="BodyText"/>
        <w:ind w:firstLine="0"/>
        <w:jc w:val="center"/>
        <w:rPr>
          <w:rFonts w:ascii="Arial" w:hAnsi="Arial" w:cs="Arial"/>
          <w:sz w:val="22"/>
          <w:szCs w:val="22"/>
        </w:rPr>
      </w:pPr>
    </w:p>
    <w:p w14:paraId="0CC2FC29" w14:textId="0ADC4C3B" w:rsidR="00C43D47" w:rsidRDefault="00AE5F85" w:rsidP="00C43D47">
      <w:pPr>
        <w:pStyle w:val="BodyText"/>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BodyText"/>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TableGrid"/>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yperlink"/>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4B24B2">
            <w:pPr>
              <w:pStyle w:val="Heading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1643A3" w:rsidRDefault="004922C7" w:rsidP="000D3823">
            <w:pPr>
              <w:pStyle w:val="Heading1"/>
              <w:tabs>
                <w:tab w:val="left" w:pos="426"/>
              </w:tabs>
              <w:ind w:firstLine="0"/>
              <w:rPr>
                <w:rFonts w:ascii="Arial" w:eastAsiaTheme="minorHAnsi" w:hAnsi="Arial" w:cs="Arial"/>
                <w:sz w:val="22"/>
                <w:szCs w:val="22"/>
              </w:rPr>
            </w:pPr>
            <w:r w:rsidRPr="001643A3">
              <w:rPr>
                <w:rFonts w:ascii="Arial" w:eastAsiaTheme="minorHAnsi" w:hAnsi="Arial" w:cs="Arial"/>
                <w:sz w:val="22"/>
                <w:szCs w:val="22"/>
              </w:rPr>
              <w:t>Atliekamas žaliasis pirkimas</w:t>
            </w:r>
            <w:r w:rsidR="00875502" w:rsidRPr="001643A3">
              <w:rPr>
                <w:rFonts w:ascii="Arial" w:eastAsiaTheme="minorHAnsi" w:hAnsi="Arial" w:cs="Arial"/>
                <w:sz w:val="22"/>
                <w:szCs w:val="22"/>
              </w:rPr>
              <w:t>.</w:t>
            </w:r>
          </w:p>
          <w:p w14:paraId="29EBFFE3" w14:textId="77777777" w:rsidR="001107D7" w:rsidRPr="005C7C7E" w:rsidRDefault="001107D7" w:rsidP="001107D7">
            <w:pPr>
              <w:rPr>
                <w:rFonts w:ascii="Arial" w:eastAsiaTheme="minorHAnsi" w:hAnsi="Arial" w:cs="Arial"/>
                <w:sz w:val="22"/>
                <w:szCs w:val="22"/>
              </w:rPr>
            </w:pPr>
          </w:p>
          <w:p w14:paraId="55BB695A" w14:textId="77777777" w:rsidR="001107D7" w:rsidRPr="005C7C7E" w:rsidRDefault="001107D7" w:rsidP="001107D7">
            <w:pPr>
              <w:rPr>
                <w:rFonts w:ascii="Arial" w:eastAsiaTheme="minorHAnsi" w:hAnsi="Arial" w:cs="Arial"/>
                <w:sz w:val="22"/>
                <w:szCs w:val="22"/>
              </w:rPr>
            </w:pPr>
          </w:p>
          <w:p w14:paraId="2F793F5E" w14:textId="30256F51" w:rsidR="002148B6" w:rsidRPr="005C7C7E" w:rsidRDefault="001107D7" w:rsidP="005C7C7E">
            <w:pPr>
              <w:pStyle w:val="BodyText"/>
              <w:ind w:firstLine="0"/>
              <w:rPr>
                <w:rFonts w:ascii="Arial" w:eastAsiaTheme="minorHAnsi" w:hAnsi="Arial" w:cs="Arial"/>
                <w:sz w:val="22"/>
                <w:szCs w:val="22"/>
              </w:rPr>
            </w:pPr>
            <w:r w:rsidRPr="005C7C7E">
              <w:rPr>
                <w:rFonts w:ascii="Arial" w:eastAsiaTheme="minorHAnsi" w:hAnsi="Arial" w:cs="Arial"/>
                <w:sz w:val="22"/>
                <w:szCs w:val="22"/>
              </w:rPr>
              <w:t>Vadovaujantis Lietuvos Respublikos aplinkos ministro 2011 m. birželio 28 d. įsakymu Nr. D1-508 patvirtintu Aplinkos apsaugos kriterijų taikymo, vykdant žaliuosius pirkimus, tvarkos aprašu (toliau – Tvarkos aprašas), taikomi: 4.1 punkto ir 2 priedo  26.1. punkto reikalavimai (SPS priedas Nr. 11) bei  26.2 punkto reikalavimai (Sutarties projektas </w:t>
            </w:r>
            <w:r w:rsidRPr="005C7C7E">
              <w:rPr>
                <w:rFonts w:ascii="Arial" w:eastAsiaTheme="minorHAnsi" w:hAnsi="Arial" w:cs="Arial"/>
                <w:b/>
                <w:bCs/>
                <w:sz w:val="22"/>
                <w:szCs w:val="22"/>
              </w:rPr>
              <w:t>1</w:t>
            </w:r>
            <w:r w:rsidR="0077417D" w:rsidRPr="005C7C7E">
              <w:rPr>
                <w:rFonts w:ascii="Arial" w:eastAsiaTheme="minorHAnsi" w:hAnsi="Arial" w:cs="Arial"/>
                <w:b/>
                <w:bCs/>
                <w:sz w:val="22"/>
                <w:szCs w:val="22"/>
              </w:rPr>
              <w:t>1</w:t>
            </w:r>
            <w:r w:rsidR="005C5D91">
              <w:rPr>
                <w:rFonts w:ascii="Arial" w:eastAsiaTheme="minorHAnsi" w:hAnsi="Arial" w:cs="Arial"/>
                <w:b/>
                <w:bCs/>
                <w:sz w:val="22"/>
                <w:szCs w:val="22"/>
              </w:rPr>
              <w:t>6</w:t>
            </w:r>
            <w:r w:rsidRPr="005C7C7E">
              <w:rPr>
                <w:rFonts w:ascii="Arial" w:eastAsiaTheme="minorHAnsi" w:hAnsi="Arial" w:cs="Arial"/>
                <w:b/>
                <w:bCs/>
                <w:sz w:val="22"/>
                <w:szCs w:val="22"/>
              </w:rPr>
              <w:t>.2</w:t>
            </w:r>
            <w:r w:rsidR="0077417D" w:rsidRPr="005C7C7E">
              <w:rPr>
                <w:rFonts w:ascii="Arial" w:eastAsiaTheme="minorHAnsi" w:hAnsi="Arial" w:cs="Arial"/>
                <w:b/>
                <w:bCs/>
                <w:sz w:val="22"/>
                <w:szCs w:val="22"/>
              </w:rPr>
              <w:t>2</w:t>
            </w:r>
            <w:r w:rsidRPr="005C7C7E">
              <w:rPr>
                <w:rFonts w:ascii="Arial" w:eastAsiaTheme="minorHAnsi" w:hAnsi="Arial" w:cs="Arial"/>
                <w:b/>
                <w:bCs/>
                <w:sz w:val="22"/>
                <w:szCs w:val="22"/>
              </w:rPr>
              <w:t xml:space="preserve"> p. </w:t>
            </w:r>
            <w:r w:rsidRPr="005C7C7E">
              <w:rPr>
                <w:rFonts w:ascii="Arial" w:eastAsiaTheme="minorHAnsi" w:hAnsi="Arial" w:cs="Arial"/>
                <w:sz w:val="22"/>
                <w:szCs w:val="22"/>
              </w:rPr>
              <w:t>(SPS priedas Nr. 8)</w:t>
            </w:r>
            <w:r w:rsidR="005C7C7E" w:rsidRPr="005C7C7E">
              <w:rPr>
                <w:rFonts w:ascii="Arial" w:eastAsiaTheme="minorHAnsi" w:hAnsi="Arial" w:cs="Arial"/>
                <w:sz w:val="22"/>
                <w:szCs w:val="22"/>
              </w:rPr>
              <w:t>)</w:t>
            </w:r>
            <w:r w:rsidRPr="005C7C7E">
              <w:rPr>
                <w:rFonts w:ascii="Arial" w:eastAsiaTheme="minorHAnsi" w:hAnsi="Arial" w:cs="Arial"/>
                <w:sz w:val="22"/>
                <w:szCs w:val="22"/>
              </w:rPr>
              <w:t>, taip pat </w:t>
            </w:r>
            <w:r w:rsidR="001859A6" w:rsidRPr="005C7C7E">
              <w:rPr>
                <w:rFonts w:ascii="Arial" w:eastAsiaTheme="minorHAnsi" w:hAnsi="Arial" w:cs="Arial"/>
                <w:sz w:val="22"/>
                <w:szCs w:val="22"/>
              </w:rPr>
              <w:t xml:space="preserve">ir </w:t>
            </w:r>
            <w:r w:rsidRPr="005C7C7E">
              <w:rPr>
                <w:rFonts w:ascii="Arial" w:eastAsiaTheme="minorHAnsi" w:hAnsi="Arial" w:cs="Arial"/>
                <w:sz w:val="22"/>
                <w:szCs w:val="22"/>
              </w:rPr>
              <w:t>Aprašo 2 priedo  27, 28, 29 punktų reikalavimai (žr.</w:t>
            </w:r>
          </w:p>
          <w:p w14:paraId="1CBB1406" w14:textId="131F1712" w:rsidR="001107D7" w:rsidRPr="005C7C7E" w:rsidRDefault="001107D7" w:rsidP="002148B6">
            <w:pPr>
              <w:pStyle w:val="BodyText"/>
              <w:ind w:firstLine="0"/>
              <w:rPr>
                <w:rFonts w:ascii="Arial" w:hAnsi="Arial" w:cs="Arial"/>
                <w:sz w:val="22"/>
                <w:szCs w:val="22"/>
              </w:rPr>
            </w:pPr>
            <w:r w:rsidRPr="005C7C7E">
              <w:rPr>
                <w:rFonts w:ascii="Arial" w:eastAsiaTheme="minorHAnsi" w:hAnsi="Arial" w:cs="Arial"/>
                <w:sz w:val="22"/>
                <w:szCs w:val="22"/>
              </w:rPr>
              <w:t>Techninės specifikacijos ,,</w:t>
            </w:r>
            <w:r w:rsidR="001E3B9F" w:rsidRPr="001A0CA1">
              <w:rPr>
                <w:rFonts w:ascii="Arial" w:eastAsiaTheme="minorHAnsi" w:hAnsi="Arial" w:cs="Arial"/>
                <w:sz w:val="22"/>
                <w:szCs w:val="22"/>
              </w:rPr>
              <w:t>Krašto kelio Nr. 211 Linkuva–Žeimelis ruožo nuo 0,90 iki 7,95 km rekonstravimo projekto parengimas, projekto vykdymo priežiūra ir darbų atlikimas</w:t>
            </w:r>
            <w:r w:rsidRPr="005C7C7E">
              <w:rPr>
                <w:rFonts w:ascii="Arial" w:eastAsiaTheme="minorHAnsi" w:hAnsi="Arial" w:cs="Arial"/>
                <w:sz w:val="22"/>
                <w:szCs w:val="22"/>
              </w:rPr>
              <w:t>‘‘ </w:t>
            </w:r>
            <w:r w:rsidR="001859A6" w:rsidRPr="005C7C7E">
              <w:rPr>
                <w:rFonts w:ascii="Arial" w:eastAsiaTheme="minorHAnsi" w:hAnsi="Arial" w:cs="Arial"/>
                <w:sz w:val="22"/>
                <w:szCs w:val="22"/>
              </w:rPr>
              <w:t>3.1</w:t>
            </w:r>
            <w:r w:rsidR="00E1181E">
              <w:rPr>
                <w:rFonts w:ascii="Arial" w:eastAsiaTheme="minorHAnsi" w:hAnsi="Arial" w:cs="Arial"/>
                <w:sz w:val="22"/>
                <w:szCs w:val="22"/>
              </w:rPr>
              <w:t>8</w:t>
            </w:r>
            <w:r w:rsidRPr="005C7C7E">
              <w:rPr>
                <w:rFonts w:ascii="Arial" w:eastAsiaTheme="minorHAnsi" w:hAnsi="Arial" w:cs="Arial"/>
                <w:sz w:val="22"/>
                <w:szCs w:val="22"/>
              </w:rPr>
              <w:t xml:space="preserve"> p.).  </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taip pat paskelbtą CVP IS, kituose leidiniuose ir internete, </w:t>
            </w:r>
            <w:r w:rsidRPr="00CF7302">
              <w:rPr>
                <w:rFonts w:ascii="Arial" w:eastAsia="Calibri" w:hAnsi="Arial" w:cs="Arial"/>
                <w:b/>
                <w:sz w:val="22"/>
                <w:szCs w:val="22"/>
              </w:rPr>
              <w:lastRenderedPageBreak/>
              <w:t>jeigu apie pirkimą buvo skelbta iš anksto</w:t>
            </w:r>
          </w:p>
        </w:tc>
        <w:tc>
          <w:tcPr>
            <w:tcW w:w="5810" w:type="dxa"/>
            <w:vAlign w:val="center"/>
          </w:tcPr>
          <w:p w14:paraId="1B3BD331" w14:textId="429C0ED8" w:rsidR="00422CA7" w:rsidRDefault="0047671B" w:rsidP="00422CA7">
            <w:pPr>
              <w:pStyle w:val="Heading1"/>
              <w:tabs>
                <w:tab w:val="left" w:pos="426"/>
              </w:tabs>
              <w:ind w:firstLine="0"/>
              <w:rPr>
                <w:rFonts w:ascii="Arial" w:eastAsiaTheme="minorEastAsia" w:hAnsi="Arial" w:cs="Arial"/>
                <w:sz w:val="22"/>
                <w:szCs w:val="22"/>
              </w:rPr>
            </w:pPr>
            <w:r>
              <w:rPr>
                <w:rFonts w:ascii="Arial" w:hAnsi="Arial" w:cs="Arial"/>
                <w:sz w:val="22"/>
                <w:szCs w:val="22"/>
              </w:rPr>
              <w:lastRenderedPageBreak/>
              <w:t>Išankstinio informacinio skelbimo apie šį pirkimą paskelbto nebuvo.</w:t>
            </w:r>
          </w:p>
          <w:p w14:paraId="2144E33D" w14:textId="77777777" w:rsidR="00CD6981" w:rsidRPr="007F3498" w:rsidRDefault="00CD6981" w:rsidP="004B24B2">
            <w:pPr>
              <w:pStyle w:val="Heading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Heading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Heading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Heading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Heading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Heading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Heading1"/>
              <w:tabs>
                <w:tab w:val="left" w:pos="426"/>
              </w:tabs>
              <w:ind w:firstLine="0"/>
              <w:rPr>
                <w:rFonts w:ascii="Arial" w:hAnsi="Arial" w:cs="Arial"/>
                <w:sz w:val="8"/>
                <w:szCs w:val="8"/>
              </w:rPr>
            </w:pPr>
          </w:p>
          <w:p w14:paraId="6A0FD18E" w14:textId="1C7EFB55" w:rsidR="004B24B2" w:rsidRDefault="004B24B2" w:rsidP="004B24B2">
            <w:pPr>
              <w:pStyle w:val="Heading1"/>
              <w:tabs>
                <w:tab w:val="left" w:pos="426"/>
              </w:tabs>
              <w:ind w:firstLine="0"/>
              <w:rPr>
                <w:rFonts w:ascii="Arial" w:hAnsi="Arial" w:cs="Arial"/>
                <w:sz w:val="22"/>
                <w:szCs w:val="22"/>
              </w:rPr>
            </w:pPr>
            <w:r w:rsidRPr="00CF7302">
              <w:rPr>
                <w:rFonts w:ascii="Arial" w:hAnsi="Arial" w:cs="Arial"/>
                <w:sz w:val="22"/>
                <w:szCs w:val="22"/>
              </w:rPr>
              <w:t xml:space="preserve">Finansų ir </w:t>
            </w:r>
            <w:r w:rsidR="00B85151">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w:t>
            </w:r>
            <w:r w:rsidR="00AA4A93">
              <w:rPr>
                <w:rFonts w:ascii="Arial" w:hAnsi="Arial" w:cs="Arial"/>
                <w:sz w:val="22"/>
                <w:szCs w:val="22"/>
              </w:rPr>
              <w:t>as</w:t>
            </w:r>
            <w:r w:rsidR="0047671B">
              <w:rPr>
                <w:rFonts w:ascii="Arial" w:hAnsi="Arial" w:cs="Arial"/>
                <w:sz w:val="22"/>
                <w:szCs w:val="22"/>
              </w:rPr>
              <w:t xml:space="preserve"> </w:t>
            </w:r>
            <w:r w:rsidR="00AA4A93">
              <w:rPr>
                <w:rFonts w:ascii="Arial" w:hAnsi="Arial" w:cs="Arial"/>
                <w:sz w:val="22"/>
                <w:szCs w:val="22"/>
              </w:rPr>
              <w:t>Antanas</w:t>
            </w:r>
            <w:r w:rsidR="0047671B">
              <w:rPr>
                <w:rFonts w:ascii="Arial" w:hAnsi="Arial" w:cs="Arial"/>
                <w:sz w:val="22"/>
                <w:szCs w:val="22"/>
              </w:rPr>
              <w:t xml:space="preserve"> </w:t>
            </w:r>
            <w:r w:rsidR="00AA4A93">
              <w:rPr>
                <w:rFonts w:ascii="Arial" w:hAnsi="Arial" w:cs="Arial"/>
                <w:sz w:val="22"/>
                <w:szCs w:val="22"/>
              </w:rPr>
              <w:t>Narbutas</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Heading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Heading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000000" w:rsidP="00435EAA">
            <w:pPr>
              <w:pStyle w:val="Heading1"/>
              <w:tabs>
                <w:tab w:val="left" w:pos="426"/>
              </w:tabs>
              <w:ind w:firstLine="0"/>
              <w:rPr>
                <w:rStyle w:val="PlaceholderText"/>
                <w:rFonts w:ascii="Arial" w:hAnsi="Arial" w:cs="Arial"/>
                <w:color w:val="auto"/>
                <w:sz w:val="22"/>
                <w:szCs w:val="22"/>
              </w:rPr>
            </w:pPr>
            <w:sdt>
              <w:sdtPr>
                <w:rPr>
                  <w:rStyle w:val="PlaceholderText"/>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7671B">
                  <w:rPr>
                    <w:rStyle w:val="PlaceholderText"/>
                    <w:rFonts w:ascii="Arial" w:hAnsi="Arial" w:cs="Arial"/>
                    <w:color w:val="auto"/>
                    <w:sz w:val="22"/>
                    <w:szCs w:val="22"/>
                  </w:rPr>
                  <w:t>Lietuvių kalba</w:t>
                </w:r>
              </w:sdtContent>
            </w:sdt>
            <w:r w:rsidR="00435EAA" w:rsidRPr="0021512F">
              <w:rPr>
                <w:rStyle w:val="PlaceholderText"/>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Heading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Heading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52522CC7" w14:textId="77777777" w:rsidR="00B85151" w:rsidRPr="00DA7C27" w:rsidRDefault="0047671B" w:rsidP="00B85151">
            <w:pPr>
              <w:pStyle w:val="BodyText"/>
              <w:ind w:firstLine="0"/>
              <w:jc w:val="center"/>
              <w:rPr>
                <w:rFonts w:ascii="Arial" w:hAnsi="Arial" w:cs="Arial"/>
                <w:color w:val="FF0000"/>
                <w:sz w:val="22"/>
                <w:szCs w:val="22"/>
              </w:rPr>
            </w:pPr>
            <w:r w:rsidRPr="0047671B">
              <w:rPr>
                <w:rFonts w:ascii="Arial" w:hAnsi="Arial" w:cs="Arial"/>
                <w:b/>
                <w:bCs/>
                <w:iCs/>
                <w:sz w:val="22"/>
                <w:szCs w:val="22"/>
              </w:rPr>
              <w:t xml:space="preserve"> </w:t>
            </w:r>
          </w:p>
          <w:p w14:paraId="358CBAA4" w14:textId="1C0CBAAD" w:rsidR="00B85151" w:rsidRPr="004B0157" w:rsidRDefault="00B85151" w:rsidP="00B85151">
            <w:pPr>
              <w:pStyle w:val="BodyText"/>
              <w:ind w:firstLine="0"/>
              <w:rPr>
                <w:rFonts w:ascii="Arial" w:hAnsi="Arial" w:cs="Arial"/>
                <w:sz w:val="22"/>
                <w:szCs w:val="22"/>
              </w:rPr>
            </w:pPr>
            <w:r w:rsidRPr="00B85151">
              <w:rPr>
                <w:rFonts w:ascii="Arial" w:hAnsi="Arial" w:cs="Arial"/>
                <w:sz w:val="22"/>
                <w:szCs w:val="22"/>
              </w:rPr>
              <w:t>Pirkimo objektas:</w:t>
            </w:r>
            <w:r w:rsidR="004B0157">
              <w:rPr>
                <w:rFonts w:ascii="Arial" w:hAnsi="Arial" w:cs="Arial"/>
                <w:sz w:val="22"/>
                <w:szCs w:val="22"/>
              </w:rPr>
              <w:t xml:space="preserve"> </w:t>
            </w:r>
            <w:r w:rsidR="004B0157" w:rsidRPr="004B0157">
              <w:rPr>
                <w:rFonts w:ascii="Arial" w:hAnsi="Arial" w:cs="Arial"/>
                <w:sz w:val="22"/>
                <w:szCs w:val="22"/>
              </w:rPr>
              <w:t>Krašto kelio Nr. 211 Linkuva–Žeimelis ruožo nuo 0,90 iki 7,95 km rekonstravimo projekto parengimas, projekto vykdymo priežiūra ir darbų atlikimas</w:t>
            </w:r>
            <w:r w:rsidRPr="004B0157">
              <w:rPr>
                <w:rFonts w:ascii="Arial" w:hAnsi="Arial" w:cs="Arial"/>
                <w:sz w:val="22"/>
                <w:szCs w:val="22"/>
              </w:rPr>
              <w:t xml:space="preserve">. </w:t>
            </w:r>
          </w:p>
          <w:p w14:paraId="730B7B03" w14:textId="72E0F214" w:rsidR="005B73EE" w:rsidRPr="0047671B" w:rsidRDefault="005B73EE" w:rsidP="005B73EE">
            <w:pPr>
              <w:rPr>
                <w:rFonts w:ascii="Arial" w:hAnsi="Arial" w:cs="Arial"/>
                <w:iCs/>
                <w:color w:val="000000" w:themeColor="text1"/>
                <w:sz w:val="22"/>
                <w:szCs w:val="22"/>
              </w:rPr>
            </w:pP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Heading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363703" w:rsidRDefault="004B24B2" w:rsidP="00E902B5">
            <w:pPr>
              <w:pStyle w:val="Heading1"/>
              <w:tabs>
                <w:tab w:val="left" w:pos="426"/>
              </w:tabs>
              <w:ind w:firstLine="0"/>
              <w:jc w:val="left"/>
              <w:rPr>
                <w:rFonts w:ascii="Arial" w:eastAsiaTheme="minorHAnsi" w:hAnsi="Arial" w:cs="Arial"/>
                <w:b/>
                <w:bCs/>
                <w:color w:val="000000" w:themeColor="text1"/>
                <w:sz w:val="22"/>
                <w:szCs w:val="22"/>
              </w:rPr>
            </w:pPr>
            <w:r w:rsidRPr="00363703">
              <w:rPr>
                <w:rFonts w:ascii="Arial" w:hAnsi="Arial" w:cs="Arial"/>
                <w:b/>
                <w:bCs/>
                <w:sz w:val="22"/>
                <w:szCs w:val="22"/>
              </w:rPr>
              <w:t>Pirkimo objekto skaidymas į dalis</w:t>
            </w:r>
            <w:r w:rsidR="00E902B5" w:rsidRPr="00363703">
              <w:rPr>
                <w:rFonts w:ascii="Arial" w:hAnsi="Arial" w:cs="Arial"/>
                <w:b/>
                <w:bCs/>
                <w:sz w:val="22"/>
                <w:szCs w:val="22"/>
              </w:rPr>
              <w:t>. P</w:t>
            </w:r>
            <w:r w:rsidRPr="00363703">
              <w:rPr>
                <w:rFonts w:ascii="Arial" w:hAnsi="Arial" w:cs="Arial"/>
                <w:b/>
                <w:bCs/>
                <w:sz w:val="22"/>
                <w:szCs w:val="22"/>
              </w:rPr>
              <w:t>irkimo objekto neskaidymo į dalis argumentai</w:t>
            </w:r>
          </w:p>
        </w:tc>
        <w:tc>
          <w:tcPr>
            <w:tcW w:w="5810" w:type="dxa"/>
            <w:vAlign w:val="center"/>
          </w:tcPr>
          <w:p w14:paraId="3C2F2012" w14:textId="77777777" w:rsidR="001D68B1" w:rsidRPr="00363703" w:rsidRDefault="007F5BEA" w:rsidP="007F5BEA">
            <w:pPr>
              <w:ind w:left="36"/>
              <w:rPr>
                <w:rFonts w:ascii="Arial" w:eastAsiaTheme="minorHAnsi" w:hAnsi="Arial" w:cs="Arial"/>
                <w:bCs/>
                <w:sz w:val="22"/>
                <w:szCs w:val="22"/>
              </w:rPr>
            </w:pPr>
            <w:r w:rsidRPr="00363703">
              <w:rPr>
                <w:rFonts w:ascii="Arial" w:eastAsiaTheme="minorHAnsi" w:hAnsi="Arial" w:cs="Arial"/>
                <w:bCs/>
                <w:sz w:val="22"/>
                <w:szCs w:val="22"/>
              </w:rPr>
              <w:t>Pirkimo objektas į dalis neskaidomas, Tiekėjas turės siūlyti visą Pirkimo objekto kiekį/apimtį.</w:t>
            </w:r>
          </w:p>
          <w:p w14:paraId="746DEFBE" w14:textId="77777777" w:rsidR="00E947AE" w:rsidRPr="00363703" w:rsidRDefault="00E947AE" w:rsidP="007F5BEA">
            <w:pPr>
              <w:ind w:left="36"/>
              <w:rPr>
                <w:rFonts w:ascii="Arial" w:eastAsiaTheme="minorHAnsi" w:hAnsi="Arial" w:cs="Arial"/>
                <w:bCs/>
                <w:sz w:val="22"/>
                <w:szCs w:val="22"/>
              </w:rPr>
            </w:pPr>
          </w:p>
          <w:p w14:paraId="1B6E440E" w14:textId="77777777" w:rsidR="009B2CFA" w:rsidRPr="00363703" w:rsidRDefault="00E947AE" w:rsidP="00E947AE">
            <w:pPr>
              <w:pStyle w:val="ListParagraph"/>
              <w:numPr>
                <w:ilvl w:val="0"/>
                <w:numId w:val="33"/>
              </w:numPr>
              <w:rPr>
                <w:rFonts w:ascii="Arial" w:eastAsiaTheme="minorHAnsi" w:hAnsi="Arial" w:cs="Arial"/>
                <w:bCs/>
                <w:sz w:val="22"/>
                <w:szCs w:val="22"/>
              </w:rPr>
            </w:pPr>
            <w:r w:rsidRPr="00363703">
              <w:rPr>
                <w:rFonts w:ascii="Arial" w:eastAsiaTheme="minorHAnsi" w:hAnsi="Arial" w:cs="Arial"/>
                <w:bCs/>
                <w:sz w:val="22"/>
                <w:szCs w:val="22"/>
              </w:rPr>
              <w:t>Šis tarptautinis pirkimas į dalis neskaidomas</w:t>
            </w:r>
            <w:r w:rsidR="009B2CFA" w:rsidRPr="00363703">
              <w:rPr>
                <w:rFonts w:ascii="Arial" w:eastAsiaTheme="minorHAnsi" w:hAnsi="Arial" w:cs="Arial"/>
                <w:bCs/>
                <w:sz w:val="22"/>
                <w:szCs w:val="22"/>
              </w:rPr>
              <w:t xml:space="preserve"> (objektas</w:t>
            </w:r>
          </w:p>
          <w:p w14:paraId="048CEE15" w14:textId="7035935E" w:rsidR="00E947AE" w:rsidRPr="00363703" w:rsidRDefault="009B2CFA" w:rsidP="009B2CFA">
            <w:pPr>
              <w:ind w:left="36"/>
              <w:rPr>
                <w:rFonts w:ascii="Arial" w:eastAsiaTheme="minorHAnsi" w:hAnsi="Arial" w:cs="Arial"/>
                <w:bCs/>
                <w:sz w:val="22"/>
                <w:szCs w:val="22"/>
              </w:rPr>
            </w:pPr>
            <w:r w:rsidRPr="00363703">
              <w:rPr>
                <w:rFonts w:ascii="Arial" w:eastAsiaTheme="minorHAnsi" w:hAnsi="Arial" w:cs="Arial"/>
                <w:bCs/>
                <w:sz w:val="22"/>
                <w:szCs w:val="22"/>
              </w:rPr>
              <w:t>yra taškinis).</w:t>
            </w:r>
          </w:p>
          <w:p w14:paraId="539236A4" w14:textId="77777777" w:rsidR="009B2CFA" w:rsidRPr="00363703" w:rsidRDefault="009B2CFA" w:rsidP="009B2CFA">
            <w:pPr>
              <w:ind w:left="36"/>
              <w:rPr>
                <w:rFonts w:ascii="Arial" w:eastAsiaTheme="minorHAnsi" w:hAnsi="Arial" w:cs="Arial"/>
                <w:bCs/>
                <w:sz w:val="22"/>
                <w:szCs w:val="22"/>
              </w:rPr>
            </w:pPr>
          </w:p>
          <w:p w14:paraId="7F1DB1EE" w14:textId="77777777" w:rsidR="00F861E5" w:rsidRPr="00363703" w:rsidRDefault="00F861E5" w:rsidP="009B2CFA">
            <w:pPr>
              <w:pStyle w:val="ListParagraph"/>
              <w:numPr>
                <w:ilvl w:val="0"/>
                <w:numId w:val="33"/>
              </w:numPr>
              <w:rPr>
                <w:rFonts w:ascii="Arial" w:eastAsiaTheme="minorHAnsi" w:hAnsi="Arial" w:cs="Arial"/>
                <w:bCs/>
                <w:sz w:val="22"/>
                <w:szCs w:val="22"/>
              </w:rPr>
            </w:pPr>
            <w:r w:rsidRPr="00363703">
              <w:rPr>
                <w:rFonts w:ascii="Arial" w:eastAsiaTheme="minorHAnsi" w:hAnsi="Arial" w:cs="Arial"/>
                <w:bCs/>
                <w:sz w:val="22"/>
                <w:szCs w:val="22"/>
              </w:rPr>
              <w:t>Be to, š</w:t>
            </w:r>
            <w:r w:rsidR="009B2CFA" w:rsidRPr="00363703">
              <w:rPr>
                <w:rFonts w:ascii="Arial" w:eastAsiaTheme="minorHAnsi" w:hAnsi="Arial" w:cs="Arial"/>
                <w:bCs/>
                <w:sz w:val="22"/>
                <w:szCs w:val="22"/>
              </w:rPr>
              <w:t xml:space="preserve">iuo pirkimu </w:t>
            </w:r>
            <w:r w:rsidR="00436BF7" w:rsidRPr="00363703">
              <w:rPr>
                <w:rFonts w:ascii="Arial" w:eastAsiaTheme="minorHAnsi" w:hAnsi="Arial" w:cs="Arial"/>
                <w:bCs/>
                <w:sz w:val="22"/>
                <w:szCs w:val="22"/>
              </w:rPr>
              <w:t xml:space="preserve">statybos </w:t>
            </w:r>
            <w:r w:rsidR="009B2CFA" w:rsidRPr="00363703">
              <w:rPr>
                <w:rFonts w:ascii="Arial" w:eastAsiaTheme="minorHAnsi" w:hAnsi="Arial" w:cs="Arial"/>
                <w:bCs/>
                <w:sz w:val="22"/>
                <w:szCs w:val="22"/>
              </w:rPr>
              <w:t>darbai perkami</w:t>
            </w:r>
            <w:r w:rsidR="00436BF7" w:rsidRPr="00363703">
              <w:rPr>
                <w:rFonts w:ascii="Arial" w:eastAsiaTheme="minorHAnsi" w:hAnsi="Arial" w:cs="Arial"/>
                <w:bCs/>
                <w:sz w:val="22"/>
                <w:szCs w:val="22"/>
              </w:rPr>
              <w:t xml:space="preserve"> kartu su</w:t>
            </w:r>
          </w:p>
          <w:p w14:paraId="6182030A" w14:textId="1E4D054F" w:rsidR="009B2CFA" w:rsidRDefault="00363703" w:rsidP="00F861E5">
            <w:pPr>
              <w:ind w:left="36"/>
              <w:rPr>
                <w:rFonts w:ascii="Arial" w:eastAsiaTheme="minorHAnsi" w:hAnsi="Arial" w:cs="Arial"/>
                <w:bCs/>
                <w:sz w:val="22"/>
                <w:szCs w:val="22"/>
              </w:rPr>
            </w:pPr>
            <w:r w:rsidRPr="00363703">
              <w:rPr>
                <w:rFonts w:ascii="Arial" w:eastAsiaTheme="minorHAnsi" w:hAnsi="Arial" w:cs="Arial"/>
                <w:bCs/>
                <w:sz w:val="22"/>
                <w:szCs w:val="22"/>
              </w:rPr>
              <w:t>s</w:t>
            </w:r>
            <w:r w:rsidR="00F861E5" w:rsidRPr="00363703">
              <w:rPr>
                <w:rFonts w:ascii="Arial" w:eastAsiaTheme="minorHAnsi" w:hAnsi="Arial" w:cs="Arial"/>
                <w:bCs/>
                <w:sz w:val="22"/>
                <w:szCs w:val="22"/>
              </w:rPr>
              <w:t>tatinio projektavimo paslauga</w:t>
            </w:r>
            <w:r w:rsidR="0090717B">
              <w:rPr>
                <w:rFonts w:ascii="Arial" w:eastAsiaTheme="minorHAnsi" w:hAnsi="Arial" w:cs="Arial"/>
                <w:bCs/>
                <w:sz w:val="22"/>
                <w:szCs w:val="22"/>
              </w:rPr>
              <w:t>.</w:t>
            </w:r>
          </w:p>
          <w:p w14:paraId="2B8A0487" w14:textId="77777777" w:rsidR="00985A72" w:rsidRDefault="00985A72" w:rsidP="00F861E5">
            <w:pPr>
              <w:ind w:left="36"/>
              <w:rPr>
                <w:rFonts w:ascii="Arial" w:eastAsiaTheme="minorHAnsi" w:hAnsi="Arial" w:cs="Arial"/>
                <w:bCs/>
                <w:sz w:val="22"/>
                <w:szCs w:val="22"/>
              </w:rPr>
            </w:pPr>
          </w:p>
          <w:p w14:paraId="6AE46CAA" w14:textId="77777777" w:rsidR="00985A72" w:rsidRPr="00363703" w:rsidRDefault="00985A72" w:rsidP="00F861E5">
            <w:pPr>
              <w:ind w:left="36"/>
              <w:rPr>
                <w:rFonts w:ascii="Arial" w:eastAsiaTheme="minorHAnsi" w:hAnsi="Arial" w:cs="Arial"/>
                <w:bCs/>
                <w:sz w:val="22"/>
                <w:szCs w:val="22"/>
              </w:rPr>
            </w:pPr>
          </w:p>
          <w:p w14:paraId="30D7CECC" w14:textId="77777777" w:rsidR="00363703" w:rsidRDefault="00363703" w:rsidP="00F861E5">
            <w:pPr>
              <w:ind w:left="36"/>
              <w:rPr>
                <w:rFonts w:ascii="Arial" w:eastAsiaTheme="minorHAnsi" w:hAnsi="Arial" w:cs="Arial"/>
                <w:bCs/>
                <w:sz w:val="22"/>
                <w:szCs w:val="22"/>
              </w:rPr>
            </w:pPr>
          </w:p>
          <w:p w14:paraId="7FBB5C69" w14:textId="77777777" w:rsidR="00985A72" w:rsidRDefault="00985A72" w:rsidP="00F861E5">
            <w:pPr>
              <w:ind w:left="36"/>
              <w:rPr>
                <w:rFonts w:ascii="Arial" w:eastAsiaTheme="minorHAnsi" w:hAnsi="Arial" w:cs="Arial"/>
                <w:bCs/>
                <w:sz w:val="22"/>
                <w:szCs w:val="22"/>
              </w:rPr>
            </w:pPr>
          </w:p>
          <w:p w14:paraId="63D4BA6D" w14:textId="77777777" w:rsidR="00985A72" w:rsidRPr="00985A72" w:rsidRDefault="00985A72" w:rsidP="00985A72">
            <w:pPr>
              <w:ind w:left="36"/>
              <w:rPr>
                <w:rFonts w:ascii="Arial" w:eastAsiaTheme="minorHAnsi" w:hAnsi="Arial" w:cs="Arial"/>
                <w:bCs/>
                <w:sz w:val="22"/>
                <w:szCs w:val="22"/>
              </w:rPr>
            </w:pPr>
            <w:r w:rsidRPr="00985A72">
              <w:rPr>
                <w:rFonts w:ascii="Arial" w:eastAsiaTheme="minorHAnsi" w:hAnsi="Arial" w:cs="Arial"/>
                <w:bCs/>
                <w:sz w:val="22"/>
                <w:szCs w:val="22"/>
              </w:rPr>
              <w:t xml:space="preserve">Neskaidant „Krašto kelio Nr. 211 Linkuva–Žeimelis ruožo nuo 0,90 iki 7,95 km rekonstravimo projekto parengimas, projekto vykdymo priežiūra ir darbų atlikimas“ pirkimo, t.y. perkant projektavimo, projekto vykdymo priežiūros ir statybos darbus vienu etapu (projektuok ir statyk principu): </w:t>
            </w:r>
          </w:p>
          <w:p w14:paraId="7300E194" w14:textId="77777777" w:rsidR="00985A72" w:rsidRPr="00985A72" w:rsidRDefault="00985A72" w:rsidP="00985A72">
            <w:pPr>
              <w:ind w:left="36"/>
              <w:rPr>
                <w:rFonts w:ascii="Arial" w:eastAsiaTheme="minorHAnsi" w:hAnsi="Arial" w:cs="Arial"/>
                <w:bCs/>
                <w:sz w:val="22"/>
                <w:szCs w:val="22"/>
              </w:rPr>
            </w:pPr>
            <w:r w:rsidRPr="00985A72">
              <w:rPr>
                <w:rFonts w:ascii="Arial" w:eastAsiaTheme="minorHAnsi" w:hAnsi="Arial" w:cs="Arial"/>
                <w:bCs/>
                <w:sz w:val="22"/>
                <w:szCs w:val="22"/>
              </w:rPr>
              <w:t>1. sudaromos sąlygos tiekėjui lygiagrečiai vykdyti projektavimo ir parengiamuosius statybos darbus. Rangovas, rengdamas projektą pagal Užsakovo pateiktą pradinę informaciją, tuo pačiu metu gali: planuoti ir rezervuoti reikalingą techniką bei žmogiškuosius išteklius; organizuoti statybvietės įrengimą; parinkti ir įsirengti medžiagų sandėliavimo aikšteles; vykdyti inžinerinius bei geologinius žvalgomuosius darbus; iš anksto sudaryti tiekimo grandines ir užtikrinti medžiagų tiekimą.</w:t>
            </w:r>
          </w:p>
          <w:p w14:paraId="03DADFE2" w14:textId="77777777" w:rsidR="00985A72" w:rsidRPr="00985A72" w:rsidRDefault="00985A72" w:rsidP="00985A72">
            <w:pPr>
              <w:ind w:left="36"/>
              <w:rPr>
                <w:rFonts w:ascii="Arial" w:eastAsiaTheme="minorHAnsi" w:hAnsi="Arial" w:cs="Arial"/>
                <w:bCs/>
                <w:sz w:val="22"/>
                <w:szCs w:val="22"/>
              </w:rPr>
            </w:pPr>
            <w:r w:rsidRPr="00985A72">
              <w:rPr>
                <w:rFonts w:ascii="Arial" w:eastAsiaTheme="minorHAnsi" w:hAnsi="Arial" w:cs="Arial"/>
                <w:bCs/>
                <w:sz w:val="22"/>
                <w:szCs w:val="22"/>
              </w:rPr>
              <w:lastRenderedPageBreak/>
              <w:t>Tokiu būdu eliminuojamas laiko tarpas tarp projektavimo ir rangos darbų pradžios, kuris atsirastų vykdant atskirus pirkimus.</w:t>
            </w:r>
          </w:p>
          <w:p w14:paraId="7ECB90FA" w14:textId="77777777" w:rsidR="00985A72" w:rsidRPr="00985A72" w:rsidRDefault="00985A72" w:rsidP="00985A72">
            <w:pPr>
              <w:ind w:left="36"/>
              <w:rPr>
                <w:rFonts w:ascii="Arial" w:eastAsiaTheme="minorHAnsi" w:hAnsi="Arial" w:cs="Arial"/>
                <w:bCs/>
                <w:sz w:val="22"/>
                <w:szCs w:val="22"/>
              </w:rPr>
            </w:pPr>
            <w:r w:rsidRPr="00985A72">
              <w:rPr>
                <w:rFonts w:ascii="Arial" w:eastAsiaTheme="minorHAnsi" w:hAnsi="Arial" w:cs="Arial"/>
                <w:bCs/>
                <w:sz w:val="22"/>
                <w:szCs w:val="22"/>
              </w:rPr>
              <w:t>2. neskaidant pirkimo objekto užtikrinamas racionalus kelių infrastruktūrai skirtų lėšų panaudojimas. Organizuojant vieną kompleksinį pirkimą, t.y. tiekėjai išvengia papildomų administracinių ir finansinių sąnaudų, susijusių su dalyvavimu keliuose atskiruose pirkimuose; sumažėja projekto įgyvendinimo trukmė, nes nereikia vykdyti atskiros rangos darbų pirkimo procedūros po projektavimo užbaigimo; sumažėja kainų augimo rizika (statybinių medžiagų, darbo jėgos), kuri galėtų atsirasti dėl laiko intervalo tarp atskirų pirkimų.</w:t>
            </w:r>
          </w:p>
          <w:p w14:paraId="6285C9A5" w14:textId="77777777" w:rsidR="00985A72" w:rsidRPr="00985A72" w:rsidRDefault="00985A72" w:rsidP="00985A72">
            <w:pPr>
              <w:ind w:left="36"/>
              <w:rPr>
                <w:rFonts w:ascii="Arial" w:eastAsiaTheme="minorHAnsi" w:hAnsi="Arial" w:cs="Arial"/>
                <w:bCs/>
                <w:sz w:val="22"/>
                <w:szCs w:val="22"/>
              </w:rPr>
            </w:pPr>
            <w:r w:rsidRPr="00985A72">
              <w:rPr>
                <w:rFonts w:ascii="Arial" w:eastAsiaTheme="minorHAnsi" w:hAnsi="Arial" w:cs="Arial"/>
                <w:bCs/>
                <w:sz w:val="22"/>
                <w:szCs w:val="22"/>
              </w:rPr>
              <w:t>3. Neskaidant pirkimo objekto į atskiras dalis sumažėja vykdomų viešųjų pirkimų procedūrų skaičius, sutarčių sudarymo ir administravimo apimtis, tiekėjų tarpusavio koordinavimo poreikis bei perkančiosios organizacijos žmogiškųjų išteklių sąnaudos. Vienos kompleksinės sutarties administravimas yra paprastesnis ir aiškesnis atsakomybės paskirstymo požiūriu, todėl sumažėja procesinių klaidų, terminų nesuderinamumo ir ginčų rizika. Tai sudaro sąlygas efektyviau planuoti ir valdyti projekto eigą, racionaliau naudoti administracinius resursus bei užtikrinti sklandų ir savalaikį projekto įgyvendinimą.</w:t>
            </w:r>
          </w:p>
          <w:p w14:paraId="41959E7A" w14:textId="77777777" w:rsidR="00985A72" w:rsidRPr="00985A72" w:rsidRDefault="00985A72" w:rsidP="00985A72">
            <w:pPr>
              <w:ind w:left="36"/>
              <w:rPr>
                <w:rFonts w:ascii="Arial" w:eastAsiaTheme="minorHAnsi" w:hAnsi="Arial" w:cs="Arial"/>
                <w:bCs/>
                <w:sz w:val="22"/>
                <w:szCs w:val="22"/>
              </w:rPr>
            </w:pPr>
          </w:p>
          <w:p w14:paraId="761E36AB" w14:textId="77777777" w:rsidR="00985A72" w:rsidRPr="00363703" w:rsidRDefault="00985A72" w:rsidP="00F861E5">
            <w:pPr>
              <w:ind w:left="36"/>
              <w:rPr>
                <w:rFonts w:ascii="Arial" w:eastAsiaTheme="minorHAnsi" w:hAnsi="Arial" w:cs="Arial"/>
                <w:bCs/>
                <w:sz w:val="22"/>
                <w:szCs w:val="22"/>
              </w:rPr>
            </w:pPr>
          </w:p>
          <w:p w14:paraId="2B0F4C91" w14:textId="77777777" w:rsidR="007F5BEA" w:rsidRPr="00363703" w:rsidRDefault="007F5BEA" w:rsidP="007F5BEA">
            <w:pPr>
              <w:ind w:left="36"/>
              <w:rPr>
                <w:rFonts w:ascii="Arial" w:eastAsiaTheme="minorHAnsi" w:hAnsi="Arial" w:cs="Arial"/>
                <w:bCs/>
                <w:sz w:val="22"/>
                <w:szCs w:val="22"/>
                <w:highlight w:val="yellow"/>
              </w:rPr>
            </w:pPr>
          </w:p>
          <w:p w14:paraId="2BF43279" w14:textId="7DB1DDC2" w:rsidR="007F5BEA" w:rsidRPr="00363703" w:rsidRDefault="007F5BEA" w:rsidP="007F5BEA">
            <w:pPr>
              <w:ind w:left="36"/>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5A3716A5" w:rsidR="004B24B2" w:rsidRPr="00130880" w:rsidRDefault="00000000" w:rsidP="00130880">
            <w:pPr>
              <w:pStyle w:val="Heading1"/>
              <w:tabs>
                <w:tab w:val="left" w:pos="426"/>
              </w:tabs>
              <w:ind w:firstLine="0"/>
              <w:rPr>
                <w:rStyle w:val="PlaceholderText"/>
                <w:color w:val="auto"/>
              </w:rPr>
            </w:pPr>
            <w:sdt>
              <w:sdtPr>
                <w:rPr>
                  <w:rStyle w:val="PlaceholderText"/>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151FCE">
                  <w:rPr>
                    <w:rStyle w:val="PlaceholderText"/>
                    <w:rFonts w:ascii="Arial" w:hAnsi="Arial" w:cs="Arial"/>
                    <w:color w:val="auto"/>
                    <w:sz w:val="22"/>
                    <w:szCs w:val="22"/>
                  </w:rPr>
                  <w:t>Taikomi.</w:t>
                </w:r>
              </w:sdtContent>
            </w:sdt>
          </w:p>
          <w:p w14:paraId="6F6D3853" w14:textId="77777777" w:rsidR="007423D0" w:rsidRDefault="007423D0" w:rsidP="004B24B2">
            <w:pPr>
              <w:pStyle w:val="BodyText"/>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BodyText"/>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BodyText"/>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BodyText"/>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BodyText"/>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Heading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BodyText"/>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Heading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BodyText"/>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BodyText"/>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BodyText"/>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Heading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lastRenderedPageBreak/>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56F37450" w:rsidR="007C2FB9" w:rsidRPr="0018519F" w:rsidRDefault="006950C7" w:rsidP="0018519F">
            <w:pPr>
              <w:pStyle w:val="ListParagraph"/>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r w:rsidR="00C42A90">
              <w:rPr>
                <w:rFonts w:ascii="Arial" w:hAnsi="Arial" w:cs="Arial"/>
                <w:sz w:val="22"/>
                <w:szCs w:val="22"/>
              </w:rPr>
              <w:t xml:space="preserve">aplinkos apsaugos vadybos sistemos standartai </w:t>
            </w:r>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ListParagraph"/>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ListParagraph"/>
              <w:ind w:left="36"/>
              <w:contextualSpacing w:val="0"/>
              <w:rPr>
                <w:rFonts w:ascii="Arial" w:hAnsi="Arial" w:cs="Arial"/>
                <w:sz w:val="22"/>
                <w:szCs w:val="22"/>
              </w:rPr>
            </w:pPr>
          </w:p>
          <w:p w14:paraId="0F128EA6" w14:textId="5FE72AC8" w:rsidR="00B500A8" w:rsidRPr="00070B2A" w:rsidRDefault="00B500A8" w:rsidP="006950C7">
            <w:pPr>
              <w:pStyle w:val="BodyText"/>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590797DE" w14:textId="77777777" w:rsidR="00DC503B" w:rsidRPr="00DC503B" w:rsidRDefault="00235214" w:rsidP="00173D86">
            <w:pPr>
              <w:pStyle w:val="ListParagraph"/>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r w:rsidR="00DC503B">
              <w:rPr>
                <w:rFonts w:ascii="Arial" w:hAnsi="Arial" w:cs="Arial"/>
                <w:bCs/>
                <w:sz w:val="22"/>
                <w:szCs w:val="22"/>
              </w:rPr>
              <w:t xml:space="preserve"> </w:t>
            </w:r>
          </w:p>
          <w:p w14:paraId="40F6271D" w14:textId="05A425EA" w:rsidR="00235214" w:rsidRPr="00235214" w:rsidRDefault="00DC503B" w:rsidP="00DC503B">
            <w:pPr>
              <w:pStyle w:val="ListParagraph"/>
              <w:ind w:left="745"/>
              <w:contextualSpacing w:val="0"/>
              <w:rPr>
                <w:rFonts w:ascii="Arial" w:hAnsi="Arial" w:cs="Arial"/>
                <w:sz w:val="22"/>
                <w:szCs w:val="22"/>
              </w:rPr>
            </w:pPr>
            <w:r>
              <w:rPr>
                <w:rFonts w:ascii="Arial" w:hAnsi="Arial" w:cs="Arial"/>
                <w:bCs/>
                <w:sz w:val="22"/>
                <w:szCs w:val="22"/>
              </w:rPr>
              <w:t>(</w:t>
            </w:r>
            <w:r w:rsidRPr="00DB6498">
              <w:rPr>
                <w:rFonts w:ascii="Arial" w:hAnsi="Arial" w:cs="Arial"/>
                <w:i/>
                <w:iCs/>
                <w:sz w:val="22"/>
                <w:szCs w:val="22"/>
              </w:rPr>
              <w:t>tiekėjo pirkimo sutarties vykdymui pasitelkiamų trečiųjų asmenų, kurio kvalifikacija tiekėjas nesiremia, kad atitiktų kvalifikacijos reikalavimus</w:t>
            </w:r>
            <w:r>
              <w:rPr>
                <w:rFonts w:ascii="Arial" w:hAnsi="Arial" w:cs="Arial"/>
                <w:bCs/>
                <w:sz w:val="22"/>
                <w:szCs w:val="22"/>
              </w:rPr>
              <w:t>)</w:t>
            </w:r>
            <w:r w:rsidR="00DB6498">
              <w:rPr>
                <w:rFonts w:ascii="Arial" w:hAnsi="Arial" w:cs="Arial"/>
                <w:bCs/>
                <w:sz w:val="22"/>
                <w:szCs w:val="22"/>
              </w:rPr>
              <w:t xml:space="preserve"> ir </w:t>
            </w:r>
            <w:r w:rsidR="00235214" w:rsidRPr="00235214">
              <w:rPr>
                <w:rFonts w:ascii="Arial" w:hAnsi="Arial" w:cs="Arial"/>
                <w:bCs/>
                <w:sz w:val="22"/>
                <w:szCs w:val="22"/>
              </w:rPr>
              <w:t xml:space="preserve">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ListParagraph"/>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ListParagraph"/>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Strong"/>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Heading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BodyText"/>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Heading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ListParagraph"/>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AFF0B3B" w14:textId="605496B2" w:rsidR="00DB5A49" w:rsidRPr="00191C02" w:rsidRDefault="00DB5A49" w:rsidP="00191C02">
            <w:pPr>
              <w:pStyle w:val="ListParagraph"/>
              <w:numPr>
                <w:ilvl w:val="2"/>
                <w:numId w:val="14"/>
              </w:numPr>
              <w:rPr>
                <w:rFonts w:ascii="Arial" w:hAnsi="Arial" w:cs="Arial"/>
                <w:bCs/>
                <w:sz w:val="22"/>
                <w:szCs w:val="22"/>
              </w:rPr>
            </w:pPr>
            <w:r w:rsidRPr="00191C02">
              <w:rPr>
                <w:rFonts w:ascii="Arial" w:hAnsi="Arial" w:cs="Arial"/>
                <w:bCs/>
                <w:sz w:val="22"/>
                <w:szCs w:val="22"/>
              </w:rPr>
              <w:t xml:space="preserve">Pirkimui taikomo </w:t>
            </w:r>
            <w:r w:rsidRPr="00191C02">
              <w:rPr>
                <w:rFonts w:ascii="Arial" w:hAnsi="Arial" w:cs="Arial"/>
                <w:sz w:val="22"/>
                <w:szCs w:val="22"/>
                <w:lang w:eastAsia="en-US"/>
              </w:rPr>
              <w:t xml:space="preserve"> </w:t>
            </w:r>
            <w:r w:rsidRPr="00191C02">
              <w:rPr>
                <w:rFonts w:ascii="Arial" w:hAnsi="Arial" w:cs="Arial"/>
                <w:bCs/>
                <w:sz w:val="22"/>
                <w:szCs w:val="22"/>
              </w:rPr>
              <w:t xml:space="preserve">2014 m. liepos 31 d. Tarybos reglamento (ES) Nr. 833/2014 (su pakeitimais, padarytais 2022 m. balandžio 8 d. Tarybos reglamentu (ES) Nr. 2022/576) (toliau – Reglamentas) nuostatos. Kartu su pasiūlymu tiekėjas turi pateikti užpildytą ir pasirašytą deklaraciją dėl (ne)atitikties Reglamento nuostatoms, kuri pateikta </w:t>
            </w:r>
            <w:r w:rsidRPr="00191C02">
              <w:rPr>
                <w:rFonts w:ascii="Arial" w:hAnsi="Arial" w:cs="Arial"/>
                <w:b/>
                <w:sz w:val="22"/>
                <w:szCs w:val="22"/>
              </w:rPr>
              <w:t>SPS priede Nr. 7</w:t>
            </w:r>
            <w:r w:rsidRPr="00191C02">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91C02">
            <w:pPr>
              <w:pStyle w:val="ListParagraph"/>
              <w:numPr>
                <w:ilvl w:val="2"/>
                <w:numId w:val="14"/>
              </w:numPr>
              <w:ind w:left="745" w:hanging="709"/>
              <w:contextualSpacing w:val="0"/>
              <w:rPr>
                <w:rFonts w:ascii="Arial" w:hAnsi="Arial" w:cs="Arial"/>
                <w:bCs/>
                <w:sz w:val="22"/>
                <w:szCs w:val="22"/>
              </w:rPr>
            </w:pPr>
            <w:r w:rsidRPr="0098785A">
              <w:rPr>
                <w:rFonts w:ascii="Arial" w:hAnsi="Arial" w:cs="Arial"/>
                <w:bCs/>
                <w:sz w:val="22"/>
                <w:szCs w:val="22"/>
              </w:rPr>
              <w:t xml:space="preserve">Perkančioji organizacija nustačiusi, kad tiekėjo pasitelktas subtiekėjas ar ūkio subjektas, kurio pajėgumais remiamasi, tenkina Reglamento 5 k straipsnyje nustatytus ribojimus, reikalaus tiekėjo </w:t>
            </w:r>
            <w:r w:rsidRPr="0098785A">
              <w:rPr>
                <w:rFonts w:ascii="Arial" w:hAnsi="Arial" w:cs="Arial"/>
                <w:bCs/>
                <w:sz w:val="22"/>
                <w:szCs w:val="22"/>
              </w:rPr>
              <w:lastRenderedPageBreak/>
              <w:t>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Heading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Heading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ListParagraph"/>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ListParagraph"/>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ListParagraph"/>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03B8C71" w:rsidR="00FC1FCE" w:rsidRDefault="007C4049" w:rsidP="00173D86">
            <w:pPr>
              <w:pStyle w:val="ListParagraph"/>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A413A8">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ListParagraph"/>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ListParagraph"/>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Heading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 xml:space="preserve">.1 – 6.1.4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Heading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Heading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Heading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Heading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Heading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282DA9BE" w:rsidR="00164A81" w:rsidRPr="00CF7302" w:rsidRDefault="00AE0DA5" w:rsidP="00164A81">
            <w:pPr>
              <w:pStyle w:val="ListParagraph"/>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ListParagraph"/>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w:t>
            </w:r>
            <w:r w:rsidRPr="00CF7302">
              <w:rPr>
                <w:rFonts w:ascii="Arial" w:hAnsi="Arial" w:cs="Arial"/>
                <w:sz w:val="22"/>
                <w:szCs w:val="22"/>
              </w:rPr>
              <w:lastRenderedPageBreak/>
              <w:t xml:space="preserve">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5787E72" w:rsidR="00164A81" w:rsidRPr="00CF7302" w:rsidRDefault="00164A81" w:rsidP="00164A81">
            <w:pPr>
              <w:pStyle w:val="ListParagraph"/>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4D61A2">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Heading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Heading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Heading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000000" w:rsidP="00164A81">
            <w:pPr>
              <w:pStyle w:val="Heading1"/>
              <w:tabs>
                <w:tab w:val="left" w:pos="426"/>
              </w:tabs>
              <w:spacing w:after="120"/>
              <w:ind w:firstLine="0"/>
              <w:rPr>
                <w:rStyle w:val="PlaceholderText"/>
                <w:rFonts w:eastAsiaTheme="minorHAnsi"/>
                <w:b/>
                <w:bCs/>
                <w:color w:val="auto"/>
              </w:rPr>
            </w:pPr>
            <w:sdt>
              <w:sdtPr>
                <w:rPr>
                  <w:rStyle w:val="PlaceholderText"/>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AE0DA5">
                  <w:rPr>
                    <w:rStyle w:val="PlaceholderText"/>
                    <w:rFonts w:ascii="Arial" w:eastAsiaTheme="minorHAnsi" w:hAnsi="Arial" w:cs="Arial"/>
                    <w:b/>
                    <w:bCs/>
                    <w:color w:val="auto"/>
                    <w:sz w:val="22"/>
                    <w:szCs w:val="22"/>
                  </w:rPr>
                  <w:t>Kainos ir kokybės santykis.</w:t>
                </w:r>
              </w:sdtContent>
            </w:sdt>
          </w:p>
          <w:p w14:paraId="207BB54C" w14:textId="202CDE6D"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w:t>
            </w:r>
            <w:r w:rsidRPr="007400FA">
              <w:rPr>
                <w:rFonts w:ascii="Arial" w:hAnsi="Arial" w:cs="Arial"/>
                <w:sz w:val="22"/>
                <w:szCs w:val="22"/>
              </w:rPr>
              <w:t xml:space="preserve">pagal kurią vertinami tiekėjo pateikti duomenys, pateikiama </w:t>
            </w:r>
            <w:r w:rsidRPr="007400FA">
              <w:rPr>
                <w:rFonts w:ascii="Arial" w:hAnsi="Arial" w:cs="Arial"/>
                <w:b/>
                <w:bCs/>
                <w:sz w:val="22"/>
                <w:szCs w:val="22"/>
              </w:rPr>
              <w:t xml:space="preserve">SPS priede Nr. </w:t>
            </w:r>
            <w:r w:rsidR="00D964F0" w:rsidRPr="007400FA">
              <w:rPr>
                <w:rFonts w:ascii="Arial" w:hAnsi="Arial" w:cs="Arial"/>
                <w:b/>
                <w:bCs/>
                <w:sz w:val="22"/>
                <w:szCs w:val="22"/>
              </w:rPr>
              <w:t>23</w:t>
            </w:r>
            <w:r w:rsidRPr="00E10446">
              <w:rPr>
                <w:rFonts w:ascii="Arial" w:hAnsi="Arial" w:cs="Arial"/>
                <w:b/>
                <w:bCs/>
                <w:color w:val="EE0000"/>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BF3CD8" w:rsidRDefault="00BD3B81" w:rsidP="0038768B">
            <w:pPr>
              <w:pStyle w:val="ListParagraph"/>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Heading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ListParagraph"/>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Heading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ListParagraph"/>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Heading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ListParagraph"/>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Heading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686C2CDE"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w:t>
            </w:r>
            <w:r w:rsidR="005E18CE">
              <w:rPr>
                <w:rFonts w:ascii="Arial" w:eastAsia="Calibri" w:hAnsi="Arial" w:cs="Arial"/>
                <w:sz w:val="22"/>
                <w:szCs w:val="22"/>
              </w:rPr>
              <w:t xml:space="preserve"> pasiūlymo kainos</w:t>
            </w:r>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2CE430A4" w:rsidR="00C4392B" w:rsidRDefault="00C4392B" w:rsidP="00C4392B">
            <w:pPr>
              <w:rPr>
                <w:rFonts w:ascii="Arial" w:eastAsia="Calibri" w:hAnsi="Arial" w:cs="Arial"/>
                <w:sz w:val="22"/>
                <w:szCs w:val="22"/>
              </w:rPr>
            </w:pPr>
            <w:r w:rsidRPr="00D9683D">
              <w:rPr>
                <w:rFonts w:ascii="Arial" w:eastAsia="Calibri" w:hAnsi="Arial" w:cs="Arial"/>
                <w:bCs/>
                <w:sz w:val="22"/>
                <w:szCs w:val="22"/>
              </w:rPr>
              <w:lastRenderedPageBreak/>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832F1D">
              <w:rPr>
                <w:rFonts w:ascii="Arial" w:eastAsia="Calibri" w:hAnsi="Arial" w:cs="Arial"/>
                <w:b/>
                <w:bCs/>
                <w:sz w:val="22"/>
                <w:szCs w:val="22"/>
              </w:rPr>
              <w:t>8</w:t>
            </w:r>
            <w:r w:rsidRPr="00D9683D">
              <w:rPr>
                <w:rFonts w:ascii="Arial" w:eastAsia="Calibri" w:hAnsi="Arial" w:cs="Arial"/>
                <w:sz w:val="22"/>
                <w:szCs w:val="22"/>
              </w:rPr>
              <w:t>).</w:t>
            </w:r>
          </w:p>
          <w:p w14:paraId="142BD8AF" w14:textId="0DAD6C3F" w:rsidR="0069511F" w:rsidRPr="00CD1F39" w:rsidRDefault="0069511F" w:rsidP="00164A81">
            <w:pPr>
              <w:pStyle w:val="ListParagraph"/>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Heading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lastRenderedPageBreak/>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BodyText"/>
        <w:ind w:firstLine="0"/>
        <w:rPr>
          <w:rFonts w:ascii="Arial" w:hAnsi="Arial" w:cs="Arial"/>
          <w:b/>
          <w:bCs/>
          <w:sz w:val="8"/>
          <w:szCs w:val="8"/>
        </w:rPr>
      </w:pPr>
    </w:p>
    <w:p w14:paraId="7A8F9FFE" w14:textId="77777777" w:rsidR="00B21E24" w:rsidRDefault="00B21E24" w:rsidP="00F31248">
      <w:pPr>
        <w:pStyle w:val="BodyText"/>
        <w:ind w:firstLine="0"/>
        <w:rPr>
          <w:rFonts w:ascii="Arial" w:hAnsi="Arial" w:cs="Arial"/>
          <w:b/>
          <w:bCs/>
          <w:sz w:val="22"/>
          <w:szCs w:val="22"/>
        </w:rPr>
      </w:pPr>
    </w:p>
    <w:p w14:paraId="71E5A716" w14:textId="77777777" w:rsidR="00B21E24" w:rsidRDefault="00B21E24" w:rsidP="00F31248">
      <w:pPr>
        <w:pStyle w:val="BodyText"/>
        <w:ind w:firstLine="0"/>
        <w:rPr>
          <w:rFonts w:ascii="Arial" w:hAnsi="Arial" w:cs="Arial"/>
          <w:b/>
          <w:bCs/>
          <w:sz w:val="22"/>
          <w:szCs w:val="22"/>
        </w:rPr>
      </w:pPr>
    </w:p>
    <w:p w14:paraId="19282794" w14:textId="72F9BD72" w:rsidR="00116A1C" w:rsidRPr="00DA7C27" w:rsidRDefault="00116A1C" w:rsidP="00F31248">
      <w:pPr>
        <w:pStyle w:val="BodyText"/>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B622A2">
      <w:pPr>
        <w:pStyle w:val="BodyText"/>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B622A2">
      <w:pPr>
        <w:pStyle w:val="BodyText"/>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B622A2">
      <w:pPr>
        <w:pStyle w:val="BodyText"/>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02A1D8C9" w:rsidR="003932F3" w:rsidRPr="007C1FEE" w:rsidRDefault="003932F3" w:rsidP="00B622A2">
      <w:pPr>
        <w:pStyle w:val="BodyText"/>
        <w:ind w:firstLine="0"/>
        <w:rPr>
          <w:rFonts w:ascii="Arial" w:hAnsi="Arial" w:cs="Arial"/>
          <w:sz w:val="22"/>
          <w:szCs w:val="22"/>
        </w:rPr>
      </w:pPr>
      <w:r w:rsidRPr="007E12BF">
        <w:rPr>
          <w:rFonts w:ascii="Arial" w:hAnsi="Arial" w:cs="Arial"/>
          <w:sz w:val="22"/>
          <w:szCs w:val="22"/>
        </w:rPr>
        <w:t xml:space="preserve">4 priedas. Techninė </w:t>
      </w:r>
      <w:r w:rsidR="009B5020">
        <w:rPr>
          <w:rFonts w:ascii="Arial" w:hAnsi="Arial" w:cs="Arial"/>
          <w:sz w:val="22"/>
          <w:szCs w:val="22"/>
        </w:rPr>
        <w:t>užduotis ir ją lydintis dokumentai</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B622A2">
      <w:pPr>
        <w:pStyle w:val="BodyText"/>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B622A2">
      <w:pPr>
        <w:pStyle w:val="BodyText"/>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B622A2">
      <w:pPr>
        <w:pStyle w:val="BodyText"/>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B622A2">
      <w:pPr>
        <w:pStyle w:val="BodyText"/>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B622A2">
      <w:pPr>
        <w:pStyle w:val="BodyText"/>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B622A2">
      <w:pPr>
        <w:pStyle w:val="BodyText"/>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B622A2">
      <w:pPr>
        <w:pStyle w:val="BodyText"/>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0B051A1" w14:textId="77777777" w:rsidR="003932F3" w:rsidRPr="007C1FEE" w:rsidRDefault="003932F3" w:rsidP="00B622A2">
      <w:pPr>
        <w:pStyle w:val="BodyText"/>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17387CE9" w14:textId="55141CC0" w:rsidR="003932F3" w:rsidRPr="00694274" w:rsidRDefault="003932F3" w:rsidP="00B622A2">
      <w:pPr>
        <w:pStyle w:val="BodyText"/>
        <w:ind w:firstLine="0"/>
        <w:rPr>
          <w:rFonts w:ascii="Arial" w:hAnsi="Arial" w:cs="Arial"/>
          <w:sz w:val="22"/>
          <w:szCs w:val="22"/>
        </w:rPr>
      </w:pPr>
      <w:r w:rsidRPr="00694274">
        <w:rPr>
          <w:rFonts w:ascii="Arial" w:hAnsi="Arial" w:cs="Arial"/>
          <w:sz w:val="22"/>
          <w:szCs w:val="22"/>
        </w:rPr>
        <w:t>13 priedas. Darbų sąrašo forma</w:t>
      </w:r>
      <w:r w:rsidR="005A7E5D">
        <w:rPr>
          <w:rFonts w:ascii="Arial" w:hAnsi="Arial" w:cs="Arial"/>
          <w:sz w:val="22"/>
          <w:szCs w:val="22"/>
        </w:rPr>
        <w:t xml:space="preserve"> ir suteiktų paslaugų sąrašas</w:t>
      </w:r>
      <w:r w:rsidRPr="00694274">
        <w:rPr>
          <w:rFonts w:ascii="Arial" w:hAnsi="Arial" w:cs="Arial"/>
          <w:sz w:val="22"/>
          <w:szCs w:val="22"/>
        </w:rPr>
        <w:t xml:space="preserve"> </w:t>
      </w:r>
      <w:r w:rsidRPr="007C1FEE">
        <w:rPr>
          <w:rFonts w:ascii="Arial" w:hAnsi="Arial" w:cs="Arial"/>
          <w:sz w:val="22"/>
          <w:szCs w:val="22"/>
        </w:rPr>
        <w:t>(pridedama atskiru priedu)</w:t>
      </w:r>
    </w:p>
    <w:p w14:paraId="6D1CADF0" w14:textId="77777777" w:rsidR="003932F3" w:rsidRPr="00694274" w:rsidRDefault="003932F3" w:rsidP="00B622A2">
      <w:pPr>
        <w:pStyle w:val="BodyText"/>
        <w:ind w:firstLine="0"/>
        <w:rPr>
          <w:rFonts w:ascii="Arial" w:hAnsi="Arial" w:cs="Arial"/>
          <w:sz w:val="22"/>
          <w:szCs w:val="22"/>
        </w:rPr>
      </w:pPr>
      <w:r w:rsidRPr="00694274">
        <w:rPr>
          <w:rFonts w:ascii="Arial" w:hAnsi="Arial" w:cs="Arial"/>
          <w:sz w:val="22"/>
          <w:szCs w:val="22"/>
        </w:rPr>
        <w:t>14 priedas. Specialistų sąrašas (pridedamas atskiru priedu)</w:t>
      </w:r>
    </w:p>
    <w:p w14:paraId="0049D258" w14:textId="77777777" w:rsidR="003932F3" w:rsidRPr="007C1FEE" w:rsidRDefault="003932F3" w:rsidP="00B622A2">
      <w:pPr>
        <w:pStyle w:val="BodyText"/>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2B171AB7" w14:textId="77777777" w:rsidR="003932F3" w:rsidRPr="007C1FEE" w:rsidRDefault="003932F3" w:rsidP="003932F3">
      <w:pPr>
        <w:pStyle w:val="BodyText"/>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3068A06C" w14:textId="77777777" w:rsidR="003932F3" w:rsidRPr="00694274" w:rsidRDefault="003932F3" w:rsidP="003932F3">
      <w:pPr>
        <w:pStyle w:val="BodyText"/>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38DF0B1A" w14:textId="77777777" w:rsidR="003932F3" w:rsidRPr="007C1FEE" w:rsidRDefault="003932F3" w:rsidP="003932F3">
      <w:pPr>
        <w:pStyle w:val="BodyText"/>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5FB9C34E" w14:textId="77777777" w:rsidR="003932F3" w:rsidRPr="00694274" w:rsidRDefault="003932F3" w:rsidP="003932F3">
      <w:pPr>
        <w:pStyle w:val="BodyText"/>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74865F86" w14:textId="77777777" w:rsidR="003932F3" w:rsidRPr="0024583F" w:rsidRDefault="003932F3" w:rsidP="003932F3">
      <w:pPr>
        <w:pStyle w:val="BodyText"/>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620B8FDD" w14:textId="77777777" w:rsidR="003932F3" w:rsidRPr="007C1FEE" w:rsidRDefault="003932F3" w:rsidP="003932F3">
      <w:pPr>
        <w:pStyle w:val="BodyText"/>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709AF89C" w14:textId="77777777" w:rsidR="003932F3" w:rsidRPr="007C1FEE" w:rsidRDefault="003932F3" w:rsidP="003932F3">
      <w:pPr>
        <w:pStyle w:val="BodyText"/>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04406506" w14:textId="77777777" w:rsidR="003932F3" w:rsidRPr="007C1FEE" w:rsidRDefault="003932F3" w:rsidP="003932F3">
      <w:pPr>
        <w:pStyle w:val="BodyText"/>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35703D78" w14:textId="77777777" w:rsidR="003932F3" w:rsidRDefault="003932F3" w:rsidP="003932F3">
      <w:pPr>
        <w:pStyle w:val="BodyText"/>
        <w:ind w:firstLine="0"/>
        <w:rPr>
          <w:rFonts w:ascii="Arial" w:hAnsi="Arial" w:cs="Arial"/>
          <w:color w:val="C00000"/>
          <w:sz w:val="22"/>
          <w:szCs w:val="22"/>
        </w:rPr>
      </w:pPr>
    </w:p>
    <w:p w14:paraId="4FA10FEB" w14:textId="77777777" w:rsidR="00B21E24" w:rsidRDefault="00B21E24" w:rsidP="00F31248">
      <w:pPr>
        <w:pStyle w:val="BodyText"/>
        <w:ind w:firstLine="0"/>
        <w:rPr>
          <w:rFonts w:ascii="Arial" w:hAnsi="Arial" w:cs="Arial"/>
          <w:color w:val="C00000"/>
          <w:sz w:val="22"/>
          <w:szCs w:val="22"/>
        </w:rPr>
      </w:pPr>
    </w:p>
    <w:p w14:paraId="3DCF4F53" w14:textId="77777777" w:rsidR="00B21E24" w:rsidRDefault="00B21E24" w:rsidP="00F31248">
      <w:pPr>
        <w:pStyle w:val="BodyText"/>
        <w:ind w:firstLine="0"/>
        <w:rPr>
          <w:rFonts w:ascii="Arial" w:hAnsi="Arial" w:cs="Arial"/>
          <w:color w:val="C00000"/>
          <w:sz w:val="22"/>
          <w:szCs w:val="22"/>
        </w:rPr>
      </w:pPr>
    </w:p>
    <w:p w14:paraId="36CF964C" w14:textId="77777777" w:rsidR="00B21E24" w:rsidRDefault="00B21E24" w:rsidP="00F31248">
      <w:pPr>
        <w:pStyle w:val="BodyText"/>
        <w:ind w:firstLine="0"/>
        <w:rPr>
          <w:rFonts w:ascii="Arial" w:hAnsi="Arial" w:cs="Arial"/>
          <w:color w:val="C00000"/>
          <w:sz w:val="22"/>
          <w:szCs w:val="22"/>
        </w:rPr>
      </w:pPr>
    </w:p>
    <w:p w14:paraId="3DDADD4C" w14:textId="77777777" w:rsidR="00B21E24" w:rsidRDefault="00B21E24" w:rsidP="00F31248">
      <w:pPr>
        <w:pStyle w:val="BodyText"/>
        <w:ind w:firstLine="0"/>
        <w:rPr>
          <w:rFonts w:ascii="Arial" w:hAnsi="Arial" w:cs="Arial"/>
          <w:color w:val="C00000"/>
          <w:sz w:val="22"/>
          <w:szCs w:val="22"/>
        </w:rPr>
      </w:pPr>
    </w:p>
    <w:p w14:paraId="168D2959" w14:textId="77777777" w:rsidR="00B21E24" w:rsidRDefault="00B21E24" w:rsidP="00F31248">
      <w:pPr>
        <w:pStyle w:val="BodyText"/>
        <w:ind w:firstLine="0"/>
        <w:rPr>
          <w:rFonts w:ascii="Arial" w:hAnsi="Arial" w:cs="Arial"/>
          <w:color w:val="C00000"/>
          <w:sz w:val="22"/>
          <w:szCs w:val="22"/>
        </w:rPr>
      </w:pPr>
    </w:p>
    <w:p w14:paraId="53C6903C" w14:textId="77777777" w:rsidR="00B21E24" w:rsidRDefault="00B21E24" w:rsidP="00F31248">
      <w:pPr>
        <w:pStyle w:val="BodyText"/>
        <w:ind w:firstLine="0"/>
        <w:rPr>
          <w:rFonts w:ascii="Arial" w:hAnsi="Arial" w:cs="Arial"/>
          <w:color w:val="C00000"/>
          <w:sz w:val="22"/>
          <w:szCs w:val="22"/>
        </w:rPr>
      </w:pPr>
    </w:p>
    <w:p w14:paraId="7DF3785E" w14:textId="77777777" w:rsidR="00B21E24" w:rsidRDefault="00B21E24" w:rsidP="00F31248">
      <w:pPr>
        <w:pStyle w:val="BodyText"/>
        <w:ind w:firstLine="0"/>
        <w:rPr>
          <w:rFonts w:ascii="Arial" w:hAnsi="Arial" w:cs="Arial"/>
          <w:color w:val="C00000"/>
          <w:sz w:val="22"/>
          <w:szCs w:val="22"/>
        </w:rPr>
      </w:pPr>
    </w:p>
    <w:p w14:paraId="25134327" w14:textId="77777777" w:rsidR="00B21E24" w:rsidRDefault="00B21E24" w:rsidP="00F31248">
      <w:pPr>
        <w:pStyle w:val="BodyText"/>
        <w:ind w:firstLine="0"/>
        <w:rPr>
          <w:rFonts w:ascii="Arial" w:hAnsi="Arial" w:cs="Arial"/>
          <w:color w:val="C00000"/>
          <w:sz w:val="22"/>
          <w:szCs w:val="22"/>
        </w:rPr>
      </w:pPr>
    </w:p>
    <w:p w14:paraId="03A78DAB" w14:textId="77777777" w:rsidR="00B21E24" w:rsidRDefault="00B21E24" w:rsidP="00F31248">
      <w:pPr>
        <w:pStyle w:val="BodyText"/>
        <w:ind w:firstLine="0"/>
        <w:rPr>
          <w:rFonts w:ascii="Arial" w:hAnsi="Arial" w:cs="Arial"/>
          <w:color w:val="C00000"/>
          <w:sz w:val="22"/>
          <w:szCs w:val="22"/>
        </w:rPr>
      </w:pPr>
    </w:p>
    <w:p w14:paraId="6ABE35A2" w14:textId="77777777" w:rsidR="00B21E24" w:rsidRDefault="00B21E24" w:rsidP="00F31248">
      <w:pPr>
        <w:pStyle w:val="BodyText"/>
        <w:ind w:firstLine="0"/>
        <w:rPr>
          <w:rFonts w:ascii="Arial" w:hAnsi="Arial" w:cs="Arial"/>
          <w:color w:val="C00000"/>
          <w:sz w:val="22"/>
          <w:szCs w:val="22"/>
        </w:rPr>
      </w:pPr>
    </w:p>
    <w:p w14:paraId="470C9939" w14:textId="77777777" w:rsidR="00B21E24" w:rsidRDefault="00B21E24" w:rsidP="00F31248">
      <w:pPr>
        <w:pStyle w:val="BodyText"/>
        <w:ind w:firstLine="0"/>
        <w:rPr>
          <w:rFonts w:ascii="Arial" w:hAnsi="Arial" w:cs="Arial"/>
          <w:color w:val="C00000"/>
          <w:sz w:val="22"/>
          <w:szCs w:val="22"/>
        </w:rPr>
      </w:pPr>
    </w:p>
    <w:p w14:paraId="4345385A" w14:textId="77777777" w:rsidR="003A3665" w:rsidRDefault="003A3665" w:rsidP="00F31248">
      <w:pPr>
        <w:pStyle w:val="BodyText"/>
        <w:ind w:firstLine="0"/>
        <w:rPr>
          <w:rFonts w:ascii="Arial" w:hAnsi="Arial" w:cs="Arial"/>
          <w:b/>
          <w:bCs/>
          <w:sz w:val="22"/>
          <w:szCs w:val="22"/>
        </w:rPr>
      </w:pPr>
    </w:p>
    <w:p w14:paraId="318A0E90" w14:textId="77777777" w:rsidR="003932F3" w:rsidRDefault="003932F3" w:rsidP="00F31248">
      <w:pPr>
        <w:pStyle w:val="BodyText"/>
        <w:ind w:firstLine="0"/>
        <w:rPr>
          <w:rFonts w:ascii="Arial" w:hAnsi="Arial" w:cs="Arial"/>
          <w:b/>
          <w:bCs/>
          <w:sz w:val="22"/>
          <w:szCs w:val="22"/>
        </w:rPr>
      </w:pPr>
    </w:p>
    <w:p w14:paraId="56E5BADD" w14:textId="77777777" w:rsidR="003932F3" w:rsidRDefault="003932F3" w:rsidP="00F31248">
      <w:pPr>
        <w:pStyle w:val="BodyText"/>
        <w:ind w:firstLine="0"/>
        <w:rPr>
          <w:rFonts w:ascii="Arial" w:hAnsi="Arial" w:cs="Arial"/>
          <w:b/>
          <w:bCs/>
          <w:sz w:val="22"/>
          <w:szCs w:val="22"/>
        </w:rPr>
      </w:pPr>
    </w:p>
    <w:p w14:paraId="537AA36C" w14:textId="77777777" w:rsidR="003932F3" w:rsidRDefault="003932F3" w:rsidP="00F31248">
      <w:pPr>
        <w:pStyle w:val="BodyText"/>
        <w:ind w:firstLine="0"/>
        <w:rPr>
          <w:rFonts w:ascii="Arial" w:hAnsi="Arial" w:cs="Arial"/>
          <w:b/>
          <w:bCs/>
          <w:sz w:val="22"/>
          <w:szCs w:val="22"/>
        </w:rPr>
      </w:pPr>
    </w:p>
    <w:p w14:paraId="21213381" w14:textId="77777777" w:rsidR="003932F3" w:rsidRDefault="003932F3" w:rsidP="00F31248">
      <w:pPr>
        <w:pStyle w:val="BodyText"/>
        <w:ind w:firstLine="0"/>
        <w:rPr>
          <w:rFonts w:ascii="Arial" w:hAnsi="Arial" w:cs="Arial"/>
          <w:b/>
          <w:bCs/>
          <w:sz w:val="22"/>
          <w:szCs w:val="22"/>
        </w:rPr>
      </w:pPr>
    </w:p>
    <w:p w14:paraId="7C1DEC08" w14:textId="77777777" w:rsidR="003932F3" w:rsidRDefault="003932F3" w:rsidP="00F31248">
      <w:pPr>
        <w:pStyle w:val="BodyText"/>
        <w:ind w:firstLine="0"/>
        <w:rPr>
          <w:rFonts w:ascii="Arial" w:hAnsi="Arial" w:cs="Arial"/>
          <w:b/>
          <w:bCs/>
          <w:sz w:val="22"/>
          <w:szCs w:val="22"/>
        </w:rPr>
      </w:pPr>
    </w:p>
    <w:p w14:paraId="0C74FDA4" w14:textId="77777777" w:rsidR="00CA0027" w:rsidRDefault="00CA0027" w:rsidP="00F31248">
      <w:pPr>
        <w:pStyle w:val="BodyText"/>
        <w:ind w:firstLine="0"/>
        <w:rPr>
          <w:rFonts w:ascii="Arial" w:hAnsi="Arial" w:cs="Arial"/>
          <w:b/>
          <w:bCs/>
          <w:sz w:val="22"/>
          <w:szCs w:val="22"/>
        </w:rPr>
      </w:pPr>
    </w:p>
    <w:p w14:paraId="2FFAC7E4" w14:textId="77777777" w:rsidR="00CA0027" w:rsidRDefault="00CA0027" w:rsidP="00F31248">
      <w:pPr>
        <w:pStyle w:val="BodyText"/>
        <w:ind w:firstLine="0"/>
        <w:rPr>
          <w:rFonts w:ascii="Arial" w:hAnsi="Arial" w:cs="Arial"/>
          <w:b/>
          <w:bCs/>
          <w:sz w:val="22"/>
          <w:szCs w:val="22"/>
        </w:rPr>
      </w:pPr>
    </w:p>
    <w:p w14:paraId="78C2EFB4" w14:textId="33FCF52D" w:rsidR="000E52CD" w:rsidRDefault="009B5020" w:rsidP="009B5020">
      <w:pPr>
        <w:pStyle w:val="BodyText"/>
        <w:ind w:left="360" w:firstLine="0"/>
        <w:jc w:val="center"/>
        <w:rPr>
          <w:rFonts w:ascii="Arial" w:hAnsi="Arial" w:cs="Arial"/>
          <w:sz w:val="22"/>
          <w:szCs w:val="22"/>
        </w:rPr>
      </w:pPr>
      <w:bookmarkStart w:id="2" w:name="_Ref518306605"/>
      <w:r>
        <w:rPr>
          <w:rFonts w:ascii="Arial" w:hAnsi="Arial" w:cs="Arial"/>
          <w:sz w:val="22"/>
          <w:szCs w:val="22"/>
        </w:rPr>
        <w:t xml:space="preserve">                                                                    SPS </w:t>
      </w:r>
      <w:r w:rsidR="000E52CD" w:rsidRPr="00DA7C27">
        <w:rPr>
          <w:rFonts w:ascii="Arial" w:hAnsi="Arial" w:cs="Arial"/>
          <w:sz w:val="22"/>
          <w:szCs w:val="22"/>
        </w:rPr>
        <w:t>priedas</w:t>
      </w:r>
      <w:bookmarkEnd w:id="2"/>
      <w:r>
        <w:rPr>
          <w:rFonts w:ascii="Arial" w:hAnsi="Arial" w:cs="Arial"/>
          <w:sz w:val="22"/>
          <w:szCs w:val="22"/>
        </w:rPr>
        <w:t xml:space="preserve"> Nr. 1</w:t>
      </w:r>
    </w:p>
    <w:p w14:paraId="37C0F24A" w14:textId="77777777" w:rsidR="009B5020" w:rsidRDefault="009B5020" w:rsidP="009B5020">
      <w:pPr>
        <w:pStyle w:val="BodyText"/>
        <w:ind w:left="360" w:firstLine="0"/>
        <w:jc w:val="center"/>
        <w:rPr>
          <w:rFonts w:ascii="Arial" w:hAnsi="Arial" w:cs="Arial"/>
          <w:sz w:val="22"/>
          <w:szCs w:val="22"/>
        </w:rPr>
      </w:pPr>
    </w:p>
    <w:p w14:paraId="14B0195B" w14:textId="677C05E1" w:rsidR="009B5020" w:rsidRPr="009B5020" w:rsidRDefault="009B5020" w:rsidP="009B5020">
      <w:pPr>
        <w:pStyle w:val="BodyText"/>
        <w:ind w:left="360" w:firstLine="0"/>
        <w:jc w:val="center"/>
        <w:rPr>
          <w:rFonts w:ascii="Arial" w:hAnsi="Arial" w:cs="Arial"/>
          <w:b/>
          <w:bCs/>
          <w:sz w:val="22"/>
          <w:szCs w:val="22"/>
        </w:rPr>
      </w:pPr>
      <w:r w:rsidRPr="009B5020">
        <w:rPr>
          <w:rFonts w:ascii="Arial" w:hAnsi="Arial" w:cs="Arial"/>
          <w:b/>
          <w:bCs/>
          <w:sz w:val="22"/>
          <w:szCs w:val="22"/>
        </w:rPr>
        <w:t>TERMINAI</w:t>
      </w:r>
    </w:p>
    <w:p w14:paraId="6972B703" w14:textId="77777777" w:rsidR="000E52CD" w:rsidRPr="00DA7C27" w:rsidRDefault="000E52CD" w:rsidP="000E52CD">
      <w:pPr>
        <w:pStyle w:val="BodyText"/>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57E38">
            <w:pPr>
              <w:rPr>
                <w:rFonts w:ascii="Arial" w:hAnsi="Arial" w:cs="Arial"/>
                <w:sz w:val="21"/>
                <w:szCs w:val="21"/>
              </w:rPr>
            </w:pPr>
          </w:p>
          <w:p w14:paraId="215D199F" w14:textId="024C0F5E" w:rsidR="005350DA" w:rsidRPr="00D00ADA" w:rsidRDefault="005350DA"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3AF6458B" w:rsidR="001A71BA" w:rsidRPr="00D00ADA" w:rsidRDefault="001A71BA"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w:t>
            </w:r>
            <w:r w:rsidRPr="00D00ADA">
              <w:rPr>
                <w:rFonts w:ascii="Arial" w:hAnsi="Arial" w:cs="Arial"/>
                <w:bCs/>
                <w:sz w:val="21"/>
                <w:szCs w:val="21"/>
              </w:rPr>
              <w:lastRenderedPageBreak/>
              <w:t>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ListParagraph"/>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0A07967F" w14:textId="77777777" w:rsidR="0064425F" w:rsidRDefault="0064425F" w:rsidP="00A85C07">
      <w:pPr>
        <w:pStyle w:val="ListParagraph"/>
        <w:suppressAutoHyphens/>
        <w:ind w:left="360"/>
        <w:jc w:val="right"/>
        <w:rPr>
          <w:rFonts w:ascii="Arial" w:hAnsi="Arial" w:cs="Arial"/>
          <w:sz w:val="22"/>
          <w:szCs w:val="22"/>
        </w:rPr>
      </w:pPr>
      <w:bookmarkStart w:id="4" w:name="_Ref518306669"/>
    </w:p>
    <w:p w14:paraId="0CF546AC" w14:textId="77777777" w:rsidR="0064425F" w:rsidRDefault="0064425F" w:rsidP="00A85C07">
      <w:pPr>
        <w:pStyle w:val="ListParagraph"/>
        <w:suppressAutoHyphens/>
        <w:ind w:left="360"/>
        <w:jc w:val="right"/>
        <w:rPr>
          <w:rFonts w:ascii="Arial" w:hAnsi="Arial" w:cs="Arial"/>
          <w:sz w:val="22"/>
          <w:szCs w:val="22"/>
        </w:rPr>
      </w:pPr>
    </w:p>
    <w:p w14:paraId="27C88C89" w14:textId="77777777" w:rsidR="0064425F" w:rsidRDefault="0064425F" w:rsidP="00A85C07">
      <w:pPr>
        <w:pStyle w:val="ListParagraph"/>
        <w:suppressAutoHyphens/>
        <w:ind w:left="360"/>
        <w:jc w:val="right"/>
        <w:rPr>
          <w:rFonts w:ascii="Arial" w:hAnsi="Arial" w:cs="Arial"/>
          <w:sz w:val="22"/>
          <w:szCs w:val="22"/>
        </w:rPr>
      </w:pPr>
    </w:p>
    <w:p w14:paraId="26BF2669" w14:textId="77777777" w:rsidR="0064425F" w:rsidRDefault="0064425F" w:rsidP="00A85C07">
      <w:pPr>
        <w:pStyle w:val="ListParagraph"/>
        <w:suppressAutoHyphens/>
        <w:ind w:left="360"/>
        <w:jc w:val="right"/>
        <w:rPr>
          <w:rFonts w:ascii="Arial" w:hAnsi="Arial" w:cs="Arial"/>
          <w:sz w:val="22"/>
          <w:szCs w:val="22"/>
        </w:rPr>
      </w:pPr>
    </w:p>
    <w:bookmarkEnd w:id="4"/>
    <w:p w14:paraId="3E9E9293" w14:textId="5BCC393E" w:rsidR="000E52CD" w:rsidRPr="00DA7C27" w:rsidRDefault="009B5020" w:rsidP="00A85C07">
      <w:pPr>
        <w:pStyle w:val="ListParagraph"/>
        <w:suppressAutoHyphens/>
        <w:ind w:left="360"/>
        <w:jc w:val="right"/>
        <w:rPr>
          <w:rFonts w:ascii="Arial" w:hAnsi="Arial" w:cs="Arial"/>
          <w:sz w:val="22"/>
          <w:szCs w:val="22"/>
        </w:rPr>
      </w:pPr>
      <w:r>
        <w:rPr>
          <w:rFonts w:ascii="Arial" w:hAnsi="Arial" w:cs="Arial"/>
          <w:sz w:val="22"/>
          <w:szCs w:val="22"/>
        </w:rPr>
        <w:t>SPS priedas Nr. 2</w:t>
      </w:r>
    </w:p>
    <w:p w14:paraId="6469DF1A" w14:textId="1CD46248" w:rsidR="000E52CD" w:rsidRPr="00DA7C27" w:rsidRDefault="000E52CD" w:rsidP="0082024D">
      <w:pPr>
        <w:pStyle w:val="Heading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NoSpacing"/>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NoSpacing"/>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NoSpacing"/>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NoSpacing"/>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NoSpacing"/>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NoSpacing"/>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E72E2">
              <w:rPr>
                <w:rFonts w:ascii="Arial" w:hAnsi="Arial" w:cs="Arial"/>
                <w:bCs/>
                <w:sz w:val="22"/>
                <w:szCs w:val="22"/>
              </w:rPr>
              <w:lastRenderedPageBreak/>
              <w:t>Bendrijų finansinių interesų apsaugos 1 straipsnyje;</w:t>
            </w:r>
          </w:p>
          <w:p w14:paraId="2BB6322F"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NoSpacing"/>
              <w:rPr>
                <w:rFonts w:ascii="Arial" w:hAnsi="Arial" w:cs="Arial"/>
                <w:b/>
                <w:bCs/>
                <w:sz w:val="22"/>
                <w:szCs w:val="22"/>
              </w:rPr>
            </w:pPr>
          </w:p>
          <w:p w14:paraId="4B7DA80A"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NoSpacing"/>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NoSpacing"/>
              <w:rPr>
                <w:rFonts w:ascii="Arial" w:hAnsi="Arial" w:cs="Arial"/>
                <w:color w:val="00B050"/>
                <w:sz w:val="22"/>
                <w:szCs w:val="22"/>
              </w:rPr>
            </w:pPr>
          </w:p>
          <w:p w14:paraId="00E3B8B3" w14:textId="77777777" w:rsidR="00ED32BA" w:rsidRDefault="00ED32BA" w:rsidP="00257E38">
            <w:pPr>
              <w:pStyle w:val="NoSpacing"/>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 xml:space="preserve">ir kitam valdymo </w:t>
            </w:r>
            <w:r w:rsidRPr="00DA7C27">
              <w:rPr>
                <w:rFonts w:ascii="Arial" w:hAnsi="Arial" w:cs="Arial"/>
                <w:bCs/>
                <w:sz w:val="22"/>
                <w:szCs w:val="22"/>
                <w:u w:val="single"/>
              </w:rPr>
              <w:lastRenderedPageBreak/>
              <w:t>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NoSpacing"/>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NoSpacing"/>
              <w:rPr>
                <w:rFonts w:ascii="Arial" w:eastAsia="Yu Mincho" w:hAnsi="Arial" w:cs="Arial"/>
                <w:sz w:val="22"/>
                <w:szCs w:val="22"/>
              </w:rPr>
            </w:pPr>
          </w:p>
          <w:p w14:paraId="795F279D"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NoSpacing"/>
              <w:rPr>
                <w:rFonts w:ascii="Arial" w:eastAsia="Yu Mincho" w:hAnsi="Arial" w:cs="Arial"/>
                <w:sz w:val="22"/>
                <w:szCs w:val="22"/>
              </w:rPr>
            </w:pPr>
          </w:p>
          <w:p w14:paraId="04FD2155"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NoSpacing"/>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NoSpacing"/>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NoSpacing"/>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NoSpacing"/>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NoSpacing"/>
              <w:rPr>
                <w:rFonts w:ascii="Arial" w:hAnsi="Arial" w:cs="Arial"/>
                <w:sz w:val="22"/>
                <w:szCs w:val="22"/>
              </w:rPr>
            </w:pPr>
          </w:p>
          <w:p w14:paraId="7C5AFC86" w14:textId="77777777" w:rsidR="00ED32BA" w:rsidRPr="00D52D62" w:rsidRDefault="00ED32BA" w:rsidP="00257E38">
            <w:pPr>
              <w:pStyle w:val="NoSpacing"/>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NoSpacing"/>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FootnoteReference"/>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NoSpacing"/>
              <w:rPr>
                <w:rFonts w:ascii="Arial" w:hAnsi="Arial" w:cs="Arial"/>
                <w:sz w:val="22"/>
                <w:szCs w:val="22"/>
              </w:rPr>
            </w:pPr>
          </w:p>
          <w:p w14:paraId="2A8FE04B" w14:textId="77777777" w:rsidR="00ED32BA" w:rsidRPr="00D52D62" w:rsidRDefault="00ED32BA" w:rsidP="00257E38">
            <w:pPr>
              <w:pStyle w:val="NoSpacing"/>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NoSpacing"/>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NoSpacing"/>
              <w:rPr>
                <w:rFonts w:ascii="Arial" w:hAnsi="Arial" w:cs="Arial"/>
                <w:bCs/>
                <w:sz w:val="22"/>
                <w:szCs w:val="22"/>
              </w:rPr>
            </w:pPr>
          </w:p>
          <w:p w14:paraId="56E546B9" w14:textId="77777777" w:rsidR="00ED32BA" w:rsidRDefault="00ED32BA" w:rsidP="00257E38">
            <w:pPr>
              <w:pStyle w:val="NoSpacing"/>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w:t>
            </w:r>
            <w:r w:rsidRPr="00DA7C27">
              <w:rPr>
                <w:rFonts w:ascii="Arial" w:hAnsi="Arial" w:cs="Arial"/>
                <w:sz w:val="22"/>
                <w:szCs w:val="22"/>
              </w:rPr>
              <w:lastRenderedPageBreak/>
              <w:t xml:space="preserve">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257E38">
            <w:pPr>
              <w:pStyle w:val="NoSpacing"/>
              <w:rPr>
                <w:rFonts w:ascii="Arial" w:hAnsi="Arial" w:cs="Arial"/>
                <w:bCs/>
                <w:sz w:val="22"/>
                <w:szCs w:val="22"/>
              </w:rPr>
            </w:pPr>
          </w:p>
          <w:p w14:paraId="3DCA4F17" w14:textId="77777777" w:rsidR="00ED32BA" w:rsidRPr="00BE72E2" w:rsidRDefault="00ED32BA" w:rsidP="00257E38">
            <w:pPr>
              <w:pStyle w:val="NoSpacing"/>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NoSpacing"/>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NoSpacing"/>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NoSpacing"/>
              <w:rPr>
                <w:rFonts w:ascii="Arial" w:eastAsia="Yu Mincho" w:hAnsi="Arial" w:cs="Arial"/>
                <w:b/>
                <w:bCs/>
                <w:sz w:val="22"/>
                <w:szCs w:val="22"/>
              </w:rPr>
            </w:pPr>
          </w:p>
          <w:p w14:paraId="5814F9AF" w14:textId="77777777" w:rsidR="00ED32BA" w:rsidRPr="00F82428" w:rsidRDefault="00ED32BA" w:rsidP="00257E38">
            <w:pPr>
              <w:pStyle w:val="NoSpacing"/>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NoSpacing"/>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NoSpacing"/>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NoSpacing"/>
              <w:rPr>
                <w:rFonts w:ascii="Arial" w:hAnsi="Arial" w:cs="Arial"/>
                <w:b/>
                <w:bCs/>
                <w:sz w:val="22"/>
                <w:szCs w:val="22"/>
              </w:rPr>
            </w:pPr>
          </w:p>
          <w:p w14:paraId="3B360A94"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257E38">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NoSpacing"/>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NoSpacing"/>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NoSpacing"/>
              <w:rPr>
                <w:rFonts w:ascii="Arial" w:eastAsia="Arial" w:hAnsi="Arial" w:cs="Arial"/>
                <w:sz w:val="22"/>
                <w:szCs w:val="22"/>
              </w:rPr>
            </w:pPr>
          </w:p>
          <w:p w14:paraId="755C00B5" w14:textId="77777777" w:rsidR="00ED32BA" w:rsidRPr="00BE72E2" w:rsidRDefault="00ED32BA" w:rsidP="00257E38">
            <w:pPr>
              <w:pStyle w:val="NoSpacing"/>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NoSpacing"/>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NoSpacing"/>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NoSpacing"/>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NoSpacing"/>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NoSpacing"/>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NoSpacing"/>
              <w:rPr>
                <w:rFonts w:ascii="Arial" w:hAnsi="Arial" w:cs="Arial"/>
                <w:sz w:val="22"/>
                <w:szCs w:val="22"/>
              </w:rPr>
            </w:pPr>
          </w:p>
          <w:p w14:paraId="5C0876FC" w14:textId="77777777" w:rsidR="00ED32BA" w:rsidRPr="00297C80" w:rsidRDefault="00ED32BA" w:rsidP="00257E38">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NoSpacing"/>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FootnoteReference"/>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NoSpacing"/>
              <w:rPr>
                <w:rFonts w:ascii="Arial" w:eastAsia="Yu Mincho" w:hAnsi="Arial" w:cs="Arial"/>
                <w:sz w:val="22"/>
                <w:szCs w:val="22"/>
              </w:rPr>
            </w:pPr>
          </w:p>
          <w:p w14:paraId="06B25F4E" w14:textId="77777777" w:rsidR="00ED32BA" w:rsidRPr="00297C80" w:rsidRDefault="00ED32BA" w:rsidP="00257E38">
            <w:pPr>
              <w:pStyle w:val="NoSpacing"/>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NoSpacing"/>
              <w:rPr>
                <w:rFonts w:ascii="Arial" w:hAnsi="Arial" w:cs="Arial"/>
                <w:i/>
                <w:iCs/>
                <w:color w:val="7030A0"/>
                <w:sz w:val="22"/>
                <w:szCs w:val="22"/>
              </w:rPr>
            </w:pPr>
          </w:p>
          <w:p w14:paraId="66B85669" w14:textId="77777777" w:rsidR="00ED32BA" w:rsidRPr="00C661D7" w:rsidRDefault="00ED32BA" w:rsidP="00257E38">
            <w:pPr>
              <w:pStyle w:val="NoSpacing"/>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NoSpacing"/>
              <w:rPr>
                <w:rFonts w:ascii="Arial" w:hAnsi="Arial" w:cs="Arial"/>
                <w:b/>
                <w:bCs/>
                <w:sz w:val="22"/>
                <w:szCs w:val="22"/>
              </w:rPr>
            </w:pPr>
          </w:p>
          <w:p w14:paraId="1EE8AE4F" w14:textId="77777777" w:rsidR="00ED32BA" w:rsidRPr="00C661D7" w:rsidRDefault="00ED32BA" w:rsidP="00257E38">
            <w:pPr>
              <w:pStyle w:val="NoSpacing"/>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NoSpacing"/>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yperlink"/>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B887780" w14:textId="77777777" w:rsidR="00ED32BA" w:rsidRDefault="00ED32BA" w:rsidP="00257E38">
            <w:pPr>
              <w:pStyle w:val="NoSpacing"/>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NoSpacing"/>
              <w:rPr>
                <w:rFonts w:ascii="Arial" w:hAnsi="Arial" w:cs="Arial"/>
                <w:bCs/>
                <w:sz w:val="22"/>
                <w:szCs w:val="22"/>
              </w:rPr>
            </w:pPr>
          </w:p>
          <w:p w14:paraId="43EF0D3D" w14:textId="77777777" w:rsidR="00ED32BA" w:rsidRPr="00C661D7" w:rsidRDefault="00ED32BA" w:rsidP="00257E38">
            <w:pPr>
              <w:pStyle w:val="NoSpacing"/>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NoSpacing"/>
              <w:rPr>
                <w:rFonts w:ascii="Arial" w:hAnsi="Arial" w:cs="Arial"/>
                <w:b/>
                <w:bCs/>
                <w:sz w:val="22"/>
                <w:szCs w:val="22"/>
              </w:rPr>
            </w:pPr>
          </w:p>
          <w:p w14:paraId="3B58F490" w14:textId="77777777" w:rsidR="00ED32BA" w:rsidRPr="00C661D7" w:rsidRDefault="00ED32BA" w:rsidP="00257E38">
            <w:pPr>
              <w:pStyle w:val="NoSpacing"/>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NoSpacing"/>
              <w:rPr>
                <w:rFonts w:ascii="Arial" w:hAnsi="Arial" w:cs="Arial"/>
                <w:b/>
                <w:bCs/>
                <w:sz w:val="22"/>
                <w:szCs w:val="22"/>
              </w:rPr>
            </w:pPr>
          </w:p>
          <w:p w14:paraId="6140B23B" w14:textId="77777777" w:rsidR="00ED32BA" w:rsidRPr="00297C80" w:rsidRDefault="00ED32BA" w:rsidP="00257E38">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NoSpacing"/>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FootnoteReference"/>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NoSpacing"/>
              <w:rPr>
                <w:rFonts w:ascii="Arial" w:hAnsi="Arial" w:cs="Arial"/>
                <w:b/>
                <w:bCs/>
                <w:sz w:val="22"/>
                <w:szCs w:val="22"/>
              </w:rPr>
            </w:pPr>
          </w:p>
          <w:p w14:paraId="29061DD3" w14:textId="77777777" w:rsidR="00ED32BA" w:rsidRPr="00C661D7" w:rsidRDefault="00ED32BA" w:rsidP="00257E38">
            <w:pPr>
              <w:pStyle w:val="NoSpacing"/>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NoSpacing"/>
              <w:rPr>
                <w:rFonts w:ascii="Arial" w:hAnsi="Arial" w:cs="Arial"/>
                <w:b/>
                <w:bCs/>
                <w:sz w:val="22"/>
                <w:szCs w:val="22"/>
              </w:rPr>
            </w:pPr>
          </w:p>
          <w:p w14:paraId="6F7E19C1" w14:textId="77777777" w:rsidR="00ED32BA" w:rsidRPr="00297C80" w:rsidRDefault="00ED32BA" w:rsidP="00257E38">
            <w:pPr>
              <w:pStyle w:val="NoSpacing"/>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NoSpacing"/>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NoSpacing"/>
              <w:rPr>
                <w:rFonts w:ascii="Arial" w:eastAsia="Yu Mincho" w:hAnsi="Arial" w:cs="Arial"/>
                <w:sz w:val="22"/>
                <w:szCs w:val="22"/>
              </w:rPr>
            </w:pPr>
          </w:p>
          <w:p w14:paraId="2F4D63A6"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NoSpacing"/>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NoSpacing"/>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NoSpacing"/>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NoSpacing"/>
              <w:rPr>
                <w:rFonts w:ascii="Arial" w:eastAsia="Yu Mincho" w:hAnsi="Arial" w:cs="Arial"/>
                <w:sz w:val="22"/>
                <w:szCs w:val="22"/>
              </w:rPr>
            </w:pPr>
          </w:p>
          <w:p w14:paraId="16F03028"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NoSpacing"/>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NoSpacing"/>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NoSpacing"/>
              <w:rPr>
                <w:rFonts w:ascii="Arial" w:eastAsia="Yu Mincho" w:hAnsi="Arial" w:cs="Arial"/>
                <w:sz w:val="22"/>
                <w:szCs w:val="22"/>
              </w:rPr>
            </w:pPr>
          </w:p>
          <w:p w14:paraId="42008F6C"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NoSpacing"/>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NoSpacing"/>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E72E2">
              <w:rPr>
                <w:rFonts w:ascii="Arial" w:hAnsi="Arial" w:cs="Arial"/>
                <w:sz w:val="22"/>
                <w:szCs w:val="22"/>
              </w:rPr>
              <w:lastRenderedPageBreak/>
              <w:t xml:space="preserve">priemonėmis arba tiekėjas dėl pateiktos melagingos informacijos negali pateikti patvirtinančių dokumentų, reikalaujamų pagal VPĮ 50 straipsnį. </w:t>
            </w:r>
          </w:p>
          <w:p w14:paraId="484F35C2" w14:textId="77777777" w:rsidR="00ED32BA" w:rsidRPr="00BE72E2" w:rsidRDefault="00ED32BA" w:rsidP="00257E38">
            <w:pPr>
              <w:pStyle w:val="NoSpacing"/>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NoSpacing"/>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257E38">
            <w:pPr>
              <w:pStyle w:val="NoSpacing"/>
              <w:rPr>
                <w:rFonts w:ascii="Arial" w:eastAsia="Yu Mincho" w:hAnsi="Arial" w:cs="Arial"/>
                <w:sz w:val="22"/>
                <w:szCs w:val="22"/>
              </w:rPr>
            </w:pPr>
          </w:p>
          <w:p w14:paraId="74877A66"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257E38">
            <w:pPr>
              <w:pStyle w:val="NoSpacing"/>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257E38">
            <w:pPr>
              <w:pStyle w:val="NoSpacing"/>
              <w:rPr>
                <w:rFonts w:ascii="Arial" w:hAnsi="Arial" w:cs="Arial"/>
                <w:bCs/>
                <w:iCs/>
                <w:sz w:val="22"/>
                <w:szCs w:val="22"/>
              </w:rPr>
            </w:pPr>
          </w:p>
          <w:p w14:paraId="250AB9C2" w14:textId="77777777" w:rsidR="00ED32BA" w:rsidRPr="00BE72E2" w:rsidRDefault="00ED32BA" w:rsidP="00257E38">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w:t>
            </w:r>
            <w:r w:rsidRPr="00BE72E2">
              <w:rPr>
                <w:rFonts w:ascii="Arial" w:hAnsi="Arial" w:cs="Arial"/>
                <w:b/>
                <w:bCs/>
                <w:sz w:val="22"/>
                <w:szCs w:val="22"/>
              </w:rPr>
              <w:lastRenderedPageBreak/>
              <w:t xml:space="preserve">atsižvelgiama į pagal VPĮ 52 straipsnį skelbiamą informaciją: </w:t>
            </w:r>
          </w:p>
          <w:p w14:paraId="278513AE" w14:textId="77777777" w:rsidR="00ED32BA" w:rsidRPr="00E63815" w:rsidRDefault="00ED32BA" w:rsidP="00257E38">
            <w:pPr>
              <w:pStyle w:val="NoSpacing"/>
              <w:rPr>
                <w:rFonts w:ascii="Arial" w:hAnsi="Arial" w:cs="Arial"/>
                <w:i/>
                <w:iCs/>
                <w:sz w:val="22"/>
                <w:szCs w:val="22"/>
              </w:rPr>
            </w:pPr>
            <w:hyperlink r:id="rId13" w:history="1">
              <w:r w:rsidRPr="00E63815">
                <w:rPr>
                  <w:rStyle w:val="Hyperlink"/>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NoSpacing"/>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BE72E2">
              <w:rPr>
                <w:rFonts w:ascii="Arial" w:hAnsi="Arial" w:cs="Arial"/>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257E38">
            <w:pPr>
              <w:pStyle w:val="NoSpacing"/>
              <w:rPr>
                <w:rFonts w:ascii="Arial" w:eastAsia="Yu Mincho" w:hAnsi="Arial" w:cs="Arial"/>
                <w:sz w:val="22"/>
                <w:szCs w:val="22"/>
              </w:rPr>
            </w:pPr>
          </w:p>
          <w:p w14:paraId="0D397D0C"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NoSpacing"/>
              <w:rPr>
                <w:rFonts w:ascii="Arial" w:eastAsia="Yu Mincho" w:hAnsi="Arial" w:cs="Arial"/>
                <w:sz w:val="22"/>
                <w:szCs w:val="22"/>
              </w:rPr>
            </w:pPr>
          </w:p>
          <w:p w14:paraId="2F019108" w14:textId="77777777" w:rsidR="00ED32BA" w:rsidRPr="00BE72E2" w:rsidRDefault="00ED32BA" w:rsidP="00257E38">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NoSpacing"/>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Šiuo pagrindu tiekėjas taip pat pašalinamas iš pirkimo procedūros, kai, vadovaujantis kitų valstybių teisės aktais, per pastaruosius 3 metus nustatyta, kad jis, </w:t>
            </w:r>
            <w:r w:rsidRPr="00BE72E2">
              <w:rPr>
                <w:rFonts w:ascii="Arial" w:hAnsi="Arial" w:cs="Arial"/>
                <w:sz w:val="22"/>
                <w:szCs w:val="22"/>
              </w:rPr>
              <w:lastRenderedPageBreak/>
              <w:t>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NoSpacing"/>
              <w:rPr>
                <w:rFonts w:ascii="Arial" w:eastAsia="Yu Mincho" w:hAnsi="Arial" w:cs="Arial"/>
                <w:sz w:val="22"/>
                <w:szCs w:val="22"/>
              </w:rPr>
            </w:pPr>
          </w:p>
          <w:p w14:paraId="5296A9C2"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NoSpacing"/>
              <w:rPr>
                <w:rFonts w:ascii="Arial" w:eastAsia="Yu Mincho" w:hAnsi="Arial" w:cs="Arial"/>
                <w:sz w:val="22"/>
                <w:szCs w:val="22"/>
              </w:rPr>
            </w:pPr>
          </w:p>
          <w:p w14:paraId="5E8D8986" w14:textId="77777777" w:rsidR="00ED32BA" w:rsidRPr="00BE72E2" w:rsidRDefault="00ED32BA" w:rsidP="00257E38">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NoSpacing"/>
              <w:rPr>
                <w:rFonts w:ascii="Arial" w:hAnsi="Arial" w:cs="Arial"/>
                <w:bCs/>
                <w:iCs/>
                <w:sz w:val="22"/>
                <w:szCs w:val="22"/>
              </w:rPr>
            </w:pPr>
          </w:p>
          <w:p w14:paraId="59392116" w14:textId="77777777" w:rsidR="00ED32BA" w:rsidRPr="00BE72E2" w:rsidRDefault="00ED32BA" w:rsidP="00257E38">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NoSpacing"/>
              <w:rPr>
                <w:rFonts w:ascii="Arial" w:hAnsi="Arial" w:cs="Arial"/>
                <w:sz w:val="22"/>
                <w:szCs w:val="22"/>
              </w:rPr>
            </w:pPr>
          </w:p>
          <w:p w14:paraId="2F783A49" w14:textId="77777777" w:rsidR="00ED32BA" w:rsidRPr="00E63815" w:rsidRDefault="00ED32BA" w:rsidP="00257E38">
            <w:pPr>
              <w:pStyle w:val="NoSpacing"/>
              <w:rPr>
                <w:rFonts w:ascii="Arial" w:hAnsi="Arial" w:cs="Arial"/>
                <w:i/>
                <w:iCs/>
                <w:sz w:val="22"/>
                <w:szCs w:val="22"/>
              </w:rPr>
            </w:pPr>
            <w:hyperlink r:id="rId14" w:history="1">
              <w:r w:rsidRPr="00E63815">
                <w:rPr>
                  <w:rStyle w:val="Hyperlink"/>
                  <w:rFonts w:ascii="Arial" w:hAnsi="Arial" w:cs="Arial"/>
                  <w:i/>
                  <w:iCs/>
                  <w:color w:val="auto"/>
                  <w:sz w:val="22"/>
                  <w:szCs w:val="22"/>
                </w:rPr>
                <w:t>https://vpt.lrv.lt/lt/nuorodos/kiti-duomenys/powerbi/nepatikimi-tiekejai-1/</w:t>
              </w:r>
            </w:hyperlink>
          </w:p>
          <w:p w14:paraId="3260CFEC" w14:textId="77777777" w:rsidR="00ED32BA" w:rsidRPr="00E63815" w:rsidRDefault="00ED32BA" w:rsidP="00257E38">
            <w:pPr>
              <w:pStyle w:val="NoSpacing"/>
              <w:rPr>
                <w:rFonts w:ascii="Arial" w:hAnsi="Arial" w:cs="Arial"/>
                <w:i/>
                <w:iCs/>
                <w:sz w:val="22"/>
                <w:szCs w:val="22"/>
              </w:rPr>
            </w:pPr>
          </w:p>
          <w:p w14:paraId="47155C90" w14:textId="77777777" w:rsidR="00ED32BA" w:rsidRPr="00E63815" w:rsidRDefault="00ED32BA" w:rsidP="00257E38">
            <w:pPr>
              <w:pStyle w:val="NoSpacing"/>
              <w:rPr>
                <w:rFonts w:ascii="Arial" w:hAnsi="Arial" w:cs="Arial"/>
                <w:i/>
                <w:iCs/>
                <w:sz w:val="22"/>
                <w:szCs w:val="22"/>
              </w:rPr>
            </w:pPr>
            <w:hyperlink r:id="rId15" w:history="1">
              <w:r w:rsidRPr="00E63815">
                <w:rPr>
                  <w:rStyle w:val="Hyperlink"/>
                  <w:rFonts w:ascii="Arial" w:hAnsi="Arial" w:cs="Arial"/>
                  <w:i/>
                  <w:iCs/>
                  <w:color w:val="auto"/>
                  <w:sz w:val="22"/>
                  <w:szCs w:val="22"/>
                </w:rPr>
                <w:t>https://vpt.lrv.lt/lt/pasalinimo-pagrindai-1/nepatikimu-koncesininku-sarasas-1/nepatikimu-koncesininku-sarasas/</w:t>
              </w:r>
            </w:hyperlink>
          </w:p>
          <w:p w14:paraId="198CD343" w14:textId="77777777" w:rsidR="00ED32BA" w:rsidRPr="00E63815" w:rsidRDefault="00ED32BA" w:rsidP="00257E38">
            <w:pPr>
              <w:pStyle w:val="NoSpacing"/>
              <w:rPr>
                <w:rFonts w:ascii="Arial" w:hAnsi="Arial" w:cs="Arial"/>
                <w:bCs/>
                <w:i/>
                <w:iCs/>
                <w:sz w:val="22"/>
                <w:szCs w:val="22"/>
              </w:rPr>
            </w:pPr>
          </w:p>
          <w:p w14:paraId="4A9167BD" w14:textId="77777777" w:rsidR="00ED32BA" w:rsidRPr="00BE72E2" w:rsidRDefault="00ED32BA" w:rsidP="00257E38">
            <w:pPr>
              <w:pStyle w:val="NoSpacing"/>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NoSpacing"/>
              <w:numPr>
                <w:ilvl w:val="0"/>
                <w:numId w:val="20"/>
              </w:numPr>
              <w:jc w:val="left"/>
              <w:rPr>
                <w:rFonts w:ascii="Arial" w:hAnsi="Arial" w:cs="Arial"/>
                <w:sz w:val="22"/>
                <w:szCs w:val="22"/>
              </w:rPr>
            </w:pPr>
          </w:p>
          <w:p w14:paraId="46AAB397" w14:textId="77777777" w:rsidR="00ED32BA" w:rsidRPr="00BE72E2" w:rsidRDefault="00ED32BA" w:rsidP="00257E38">
            <w:pPr>
              <w:pStyle w:val="NoSpacing"/>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NoSpacing"/>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NoSpacing"/>
              <w:rPr>
                <w:rFonts w:ascii="Arial" w:eastAsia="Yu Mincho" w:hAnsi="Arial" w:cs="Arial"/>
                <w:sz w:val="22"/>
                <w:szCs w:val="22"/>
              </w:rPr>
            </w:pPr>
          </w:p>
          <w:p w14:paraId="125B85FC"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NoSpacing"/>
              <w:rPr>
                <w:rFonts w:ascii="Arial" w:hAnsi="Arial" w:cs="Arial"/>
                <w:sz w:val="22"/>
                <w:szCs w:val="22"/>
              </w:rPr>
            </w:pPr>
          </w:p>
          <w:p w14:paraId="7FBFFBED" w14:textId="77777777" w:rsidR="00ED32BA" w:rsidRPr="00E63815" w:rsidRDefault="00ED32BA" w:rsidP="00257E38">
            <w:pPr>
              <w:pStyle w:val="NoSpacing"/>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yperlink"/>
                  <w:rFonts w:ascii="Arial" w:hAnsi="Arial" w:cs="Arial"/>
                  <w:i/>
                  <w:iCs/>
                  <w:color w:val="auto"/>
                  <w:sz w:val="22"/>
                  <w:szCs w:val="22"/>
                </w:rPr>
                <w:t>https://www.registrucentras.lt/jar/p/index.php</w:t>
              </w:r>
            </w:hyperlink>
          </w:p>
          <w:p w14:paraId="0330C1EA" w14:textId="77777777" w:rsidR="00ED32BA" w:rsidRPr="00BE72E2" w:rsidRDefault="00ED32BA" w:rsidP="00257E38">
            <w:pPr>
              <w:pStyle w:val="NoSpacing"/>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63815" w:rsidRDefault="00ED32BA" w:rsidP="00257E38">
            <w:pPr>
              <w:pStyle w:val="NoSpacing"/>
              <w:rPr>
                <w:rFonts w:ascii="Arial" w:hAnsi="Arial" w:cs="Arial"/>
                <w:i/>
                <w:iCs/>
                <w:sz w:val="22"/>
                <w:szCs w:val="22"/>
              </w:rPr>
            </w:pPr>
            <w:hyperlink r:id="rId17" w:history="1">
              <w:r w:rsidRPr="00E63815">
                <w:rPr>
                  <w:rStyle w:val="Hyperlink"/>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NoSpacing"/>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NoSpacing"/>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NoSpacing"/>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257E38">
            <w:pPr>
              <w:pStyle w:val="NoSpacing"/>
              <w:rPr>
                <w:rFonts w:ascii="Arial" w:eastAsia="Yu Mincho" w:hAnsi="Arial" w:cs="Arial"/>
                <w:sz w:val="22"/>
                <w:szCs w:val="22"/>
              </w:rPr>
            </w:pPr>
          </w:p>
          <w:p w14:paraId="2A83BABE"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NoSpacing"/>
              <w:rPr>
                <w:rFonts w:ascii="Arial" w:hAnsi="Arial" w:cs="Arial"/>
                <w:b/>
                <w:bCs/>
                <w:iCs/>
                <w:sz w:val="22"/>
                <w:szCs w:val="22"/>
              </w:rPr>
            </w:pPr>
          </w:p>
          <w:p w14:paraId="6BC6C814" w14:textId="77777777" w:rsidR="00ED32BA" w:rsidRPr="00BE72E2" w:rsidRDefault="00ED32BA" w:rsidP="00257E38">
            <w:pPr>
              <w:pStyle w:val="NoSpacing"/>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yperlink"/>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NoSpacing"/>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NoSpacing"/>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257E38">
            <w:pPr>
              <w:pStyle w:val="NoSpacing"/>
              <w:rPr>
                <w:rFonts w:ascii="Arial" w:eastAsia="Yu Mincho" w:hAnsi="Arial" w:cs="Arial"/>
                <w:sz w:val="22"/>
                <w:szCs w:val="22"/>
              </w:rPr>
            </w:pPr>
          </w:p>
          <w:p w14:paraId="5E033CEC" w14:textId="77777777" w:rsidR="00ED32BA" w:rsidRPr="00BE72E2" w:rsidRDefault="00ED32BA" w:rsidP="00257E38">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NoSpacing"/>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NoSpacing"/>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E63815">
                <w:rPr>
                  <w:rStyle w:val="Hyperlink"/>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NoSpacing"/>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w:t>
      </w:r>
      <w:r w:rsidRPr="00C80B3C">
        <w:rPr>
          <w:rFonts w:ascii="Arial" w:hAnsi="Arial" w:cs="Arial"/>
          <w:sz w:val="22"/>
          <w:szCs w:val="22"/>
        </w:rPr>
        <w:lastRenderedPageBreak/>
        <w:t xml:space="preserve">dokumentų, kuriuos turi pateikti užsienio šalių tiekėjai, informaciją Perkančioji organizacija pasitikrina „e-Certis“, adresu </w:t>
      </w:r>
      <w:hyperlink r:id="rId20" w:history="1">
        <w:r w:rsidRPr="00E63815">
          <w:rPr>
            <w:rStyle w:val="Hyperlink"/>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NoSpacing"/>
        <w:ind w:firstLine="284"/>
        <w:jc w:val="center"/>
        <w:rPr>
          <w:rFonts w:ascii="Arial" w:hAnsi="Arial" w:cs="Arial"/>
          <w:sz w:val="22"/>
          <w:szCs w:val="22"/>
        </w:rPr>
      </w:pPr>
      <w:r w:rsidRPr="00DA7C27">
        <w:rPr>
          <w:rFonts w:ascii="Arial" w:hAnsi="Arial" w:cs="Arial"/>
          <w:sz w:val="22"/>
          <w:szCs w:val="22"/>
        </w:rPr>
        <w:t>___________________________</w:t>
      </w:r>
    </w:p>
    <w:p w14:paraId="4E996238" w14:textId="6787805D"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9B5020">
        <w:rPr>
          <w:rFonts w:ascii="Arial" w:hAnsi="Arial" w:cs="Arial"/>
          <w:sz w:val="22"/>
          <w:szCs w:val="22"/>
        </w:rPr>
        <w:t>SPS priedas Nr.3</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FootnoteReference"/>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FootnoteReference"/>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FootnoteReference"/>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NormalWeb"/>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lastRenderedPageBreak/>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646DD4AA" w14:textId="77777777" w:rsidR="00F050A3" w:rsidRDefault="00F050A3" w:rsidP="004B3557">
      <w:pPr>
        <w:rPr>
          <w:rFonts w:ascii="Arial" w:hAnsi="Arial" w:cs="Arial"/>
          <w:sz w:val="22"/>
          <w:szCs w:val="22"/>
        </w:rPr>
      </w:pPr>
    </w:p>
    <w:p w14:paraId="45B987E4" w14:textId="77777777" w:rsidR="00F050A3" w:rsidRDefault="00F050A3" w:rsidP="004B3557">
      <w:pPr>
        <w:rPr>
          <w:rFonts w:ascii="Arial" w:hAnsi="Arial" w:cs="Arial"/>
          <w:sz w:val="22"/>
          <w:szCs w:val="22"/>
        </w:rPr>
      </w:pPr>
    </w:p>
    <w:p w14:paraId="64A1F661" w14:textId="77777777" w:rsidR="00F050A3" w:rsidRDefault="00F050A3"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0EB0B946" w14:textId="77777777" w:rsidR="009B5020" w:rsidRDefault="009B5020" w:rsidP="009B5020">
      <w:pPr>
        <w:pStyle w:val="ListParagraph"/>
        <w:suppressAutoHyphens/>
        <w:rPr>
          <w:rFonts w:ascii="Arial" w:hAnsi="Arial" w:cs="Arial"/>
          <w:sz w:val="22"/>
          <w:szCs w:val="22"/>
        </w:rPr>
      </w:pPr>
      <w:r>
        <w:rPr>
          <w:rFonts w:ascii="Arial" w:hAnsi="Arial" w:cs="Arial"/>
          <w:sz w:val="22"/>
          <w:szCs w:val="22"/>
        </w:rPr>
        <w:lastRenderedPageBreak/>
        <w:t xml:space="preserve">                                                                                                    </w:t>
      </w:r>
    </w:p>
    <w:p w14:paraId="218D6460" w14:textId="50BD714F" w:rsidR="00F16744" w:rsidRDefault="009B5020" w:rsidP="009B5020">
      <w:pPr>
        <w:pStyle w:val="ListParagraph"/>
        <w:suppressAutoHyphens/>
        <w:ind w:left="6400" w:firstLine="132"/>
        <w:rPr>
          <w:rFonts w:ascii="Arial" w:hAnsi="Arial" w:cs="Arial"/>
          <w:sz w:val="22"/>
          <w:szCs w:val="22"/>
        </w:rPr>
      </w:pPr>
      <w:r>
        <w:rPr>
          <w:rFonts w:ascii="Arial" w:hAnsi="Arial" w:cs="Arial"/>
          <w:sz w:val="22"/>
          <w:szCs w:val="22"/>
        </w:rPr>
        <w:t>SPS priedas Nr. 4</w:t>
      </w:r>
    </w:p>
    <w:p w14:paraId="485084E0" w14:textId="77777777" w:rsidR="00F16744" w:rsidRPr="006D20F8" w:rsidRDefault="00F16744" w:rsidP="00F16744">
      <w:pPr>
        <w:suppressAutoHyphens/>
        <w:jc w:val="right"/>
        <w:rPr>
          <w:rFonts w:ascii="Arial" w:hAnsi="Arial" w:cs="Arial"/>
          <w:sz w:val="22"/>
          <w:szCs w:val="22"/>
        </w:rPr>
      </w:pPr>
    </w:p>
    <w:p w14:paraId="54066296" w14:textId="31536B36" w:rsidR="00F16744" w:rsidRPr="00DA7C27" w:rsidRDefault="00F16744" w:rsidP="00F16744">
      <w:pPr>
        <w:pStyle w:val="Heading3"/>
        <w:rPr>
          <w:rFonts w:ascii="Arial" w:hAnsi="Arial" w:cs="Arial"/>
          <w:sz w:val="22"/>
          <w:szCs w:val="22"/>
        </w:rPr>
      </w:pPr>
      <w:r w:rsidRPr="00DA7C27">
        <w:rPr>
          <w:rFonts w:ascii="Arial" w:hAnsi="Arial" w:cs="Arial"/>
          <w:sz w:val="22"/>
          <w:szCs w:val="22"/>
        </w:rPr>
        <w:t>TECHNIN</w:t>
      </w:r>
      <w:r w:rsidR="009B5020">
        <w:rPr>
          <w:rFonts w:ascii="Arial" w:hAnsi="Arial" w:cs="Arial"/>
          <w:sz w:val="22"/>
          <w:szCs w:val="22"/>
        </w:rPr>
        <w:t>Ė UŽDUOTIS IR JĄ LYDINTIS DOKUMENTAI</w:t>
      </w:r>
    </w:p>
    <w:p w14:paraId="1400ECD6" w14:textId="77777777" w:rsidR="00F16744" w:rsidRDefault="00F16744" w:rsidP="00F16744">
      <w:pPr>
        <w:ind w:firstLine="567"/>
        <w:rPr>
          <w:rFonts w:ascii="Arial" w:hAnsi="Arial" w:cs="Arial"/>
          <w:sz w:val="22"/>
          <w:szCs w:val="22"/>
        </w:rPr>
      </w:pPr>
      <w:bookmarkStart w:id="7" w:name="_Hlk67296929"/>
    </w:p>
    <w:bookmarkEnd w:id="7"/>
    <w:p w14:paraId="667ACD32" w14:textId="7DC57526" w:rsidR="0030777E" w:rsidRPr="00F645B1" w:rsidRDefault="009B5020" w:rsidP="0030777E">
      <w:pPr>
        <w:ind w:firstLine="567"/>
        <w:rPr>
          <w:rFonts w:ascii="Arial" w:hAnsi="Arial" w:cs="Arial"/>
          <w:sz w:val="22"/>
          <w:szCs w:val="22"/>
        </w:rPr>
      </w:pPr>
      <w:r>
        <w:rPr>
          <w:rFonts w:ascii="Arial" w:hAnsi="Arial" w:cs="Arial"/>
          <w:sz w:val="22"/>
          <w:szCs w:val="22"/>
        </w:rPr>
        <w:t xml:space="preserve">       </w:t>
      </w:r>
    </w:p>
    <w:p w14:paraId="101EDDE5" w14:textId="77777777" w:rsidR="0030777E" w:rsidRPr="00DA7C27" w:rsidRDefault="0030777E" w:rsidP="0030777E">
      <w:pPr>
        <w:ind w:firstLine="567"/>
        <w:rPr>
          <w:rFonts w:ascii="Arial" w:hAnsi="Arial" w:cs="Arial"/>
          <w:sz w:val="22"/>
          <w:szCs w:val="22"/>
        </w:rPr>
      </w:pPr>
    </w:p>
    <w:p w14:paraId="3E252424" w14:textId="77777777" w:rsidR="009B5020" w:rsidRDefault="0030777E" w:rsidP="0030777E">
      <w:pPr>
        <w:pStyle w:val="BodyText"/>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r w:rsidR="009B5020">
        <w:rPr>
          <w:rFonts w:ascii="Arial" w:hAnsi="Arial" w:cs="Arial"/>
          <w:sz w:val="22"/>
          <w:szCs w:val="22"/>
        </w:rPr>
        <w:t xml:space="preserve"> </w:t>
      </w:r>
    </w:p>
    <w:p w14:paraId="0B334ECB" w14:textId="70ADD4C7" w:rsidR="0030777E" w:rsidRPr="00DA7C27" w:rsidRDefault="009B5020" w:rsidP="009B5020">
      <w:pPr>
        <w:pStyle w:val="BodyText"/>
        <w:ind w:firstLine="0"/>
        <w:rPr>
          <w:rFonts w:ascii="Arial" w:hAnsi="Arial" w:cs="Arial"/>
          <w:sz w:val="22"/>
          <w:szCs w:val="22"/>
        </w:rPr>
      </w:pPr>
      <w:r>
        <w:rPr>
          <w:rFonts w:ascii="Arial" w:hAnsi="Arial" w:cs="Arial"/>
          <w:sz w:val="22"/>
          <w:szCs w:val="22"/>
        </w:rPr>
        <w:t>(faila</w:t>
      </w:r>
      <w:r w:rsidR="00A06326">
        <w:rPr>
          <w:rFonts w:ascii="Arial" w:hAnsi="Arial" w:cs="Arial"/>
          <w:sz w:val="22"/>
          <w:szCs w:val="22"/>
        </w:rPr>
        <w:t>i</w:t>
      </w:r>
      <w:r>
        <w:rPr>
          <w:rFonts w:ascii="Arial" w:hAnsi="Arial" w:cs="Arial"/>
          <w:sz w:val="22"/>
          <w:szCs w:val="22"/>
        </w:rPr>
        <w:t xml:space="preserve"> ,,SPS priedas Nr. 4. TU.zip</w:t>
      </w:r>
      <w:r w:rsidR="00E134FE">
        <w:rPr>
          <w:rFonts w:ascii="Arial" w:hAnsi="Arial" w:cs="Arial"/>
          <w:sz w:val="22"/>
          <w:szCs w:val="22"/>
        </w:rPr>
        <w:t>‘‘</w:t>
      </w:r>
      <w:r w:rsidR="00A06326">
        <w:rPr>
          <w:rFonts w:ascii="Arial" w:hAnsi="Arial" w:cs="Arial"/>
          <w:sz w:val="22"/>
          <w:szCs w:val="22"/>
        </w:rPr>
        <w:t xml:space="preserve"> ir ,,KPRTD.</w:t>
      </w:r>
      <w:r w:rsidR="001C3AA6">
        <w:rPr>
          <w:rFonts w:ascii="Arial" w:hAnsi="Arial" w:cs="Arial"/>
          <w:sz w:val="22"/>
          <w:szCs w:val="22"/>
        </w:rPr>
        <w:t>7z</w:t>
      </w:r>
      <w:r w:rsidR="00A06326">
        <w:rPr>
          <w:rFonts w:ascii="Arial" w:hAnsi="Arial" w:cs="Arial"/>
          <w:sz w:val="22"/>
          <w:szCs w:val="22"/>
        </w:rPr>
        <w:t>‘‘</w:t>
      </w:r>
      <w:r>
        <w:rPr>
          <w:rFonts w:ascii="Arial" w:hAnsi="Arial" w:cs="Arial"/>
          <w:sz w:val="22"/>
          <w:szCs w:val="22"/>
        </w:rPr>
        <w:t>)</w:t>
      </w:r>
      <w:r w:rsidR="0030777E" w:rsidRPr="00DA7C27">
        <w:rPr>
          <w:rFonts w:ascii="Arial" w:hAnsi="Arial" w:cs="Arial"/>
          <w:sz w:val="22"/>
          <w:szCs w:val="22"/>
        </w:rPr>
        <w:t>.</w:t>
      </w:r>
    </w:p>
    <w:p w14:paraId="4A6288DA" w14:textId="77777777" w:rsidR="0030777E" w:rsidRPr="00DA7C27" w:rsidRDefault="0030777E" w:rsidP="0030777E">
      <w:pPr>
        <w:pStyle w:val="BodyText"/>
        <w:ind w:firstLine="0"/>
        <w:jc w:val="center"/>
        <w:rPr>
          <w:rFonts w:ascii="Arial" w:hAnsi="Arial" w:cs="Arial"/>
          <w:sz w:val="22"/>
          <w:szCs w:val="22"/>
        </w:rPr>
      </w:pPr>
    </w:p>
    <w:p w14:paraId="4128FB7F" w14:textId="77777777" w:rsidR="0030777E" w:rsidRPr="00DA7C27" w:rsidRDefault="0030777E" w:rsidP="0030777E">
      <w:pPr>
        <w:pStyle w:val="BodyText"/>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BodyText"/>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headerReference w:type="first" r:id="rId22"/>
      <w:footerReference w:type="first" r:id="rId2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7E7B" w14:textId="77777777" w:rsidR="00D30D0D" w:rsidRDefault="00D30D0D" w:rsidP="0075209B">
      <w:r>
        <w:separator/>
      </w:r>
    </w:p>
  </w:endnote>
  <w:endnote w:type="continuationSeparator" w:id="0">
    <w:p w14:paraId="28B9681F" w14:textId="77777777" w:rsidR="00D30D0D" w:rsidRDefault="00D30D0D"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Footer"/>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109B" w14:textId="77777777" w:rsidR="00D30D0D" w:rsidRDefault="00D30D0D" w:rsidP="0075209B">
      <w:r>
        <w:separator/>
      </w:r>
    </w:p>
  </w:footnote>
  <w:footnote w:type="continuationSeparator" w:id="0">
    <w:p w14:paraId="0EF1B5CC" w14:textId="77777777" w:rsidR="00D30D0D" w:rsidRDefault="00D30D0D" w:rsidP="0075209B">
      <w:r>
        <w:continuationSeparator/>
      </w:r>
    </w:p>
  </w:footnote>
  <w:footnote w:id="1">
    <w:p w14:paraId="0F056C6E"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FootnoteText"/>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FootnoteText"/>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FootnoteText"/>
        <w:rPr>
          <w:rFonts w:ascii="Arial" w:hAnsi="Arial" w:cs="Arial"/>
          <w:i/>
          <w:iCs/>
          <w:sz w:val="18"/>
          <w:szCs w:val="18"/>
        </w:rPr>
      </w:pPr>
      <w:r w:rsidRPr="005720BF">
        <w:rPr>
          <w:rStyle w:val="FootnoteReference"/>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FootnoteText"/>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FootnoteText"/>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FootnoteText"/>
        <w:rPr>
          <w:rFonts w:ascii="Arial" w:hAnsi="Arial" w:cs="Arial"/>
          <w:i/>
          <w:iCs/>
          <w:sz w:val="18"/>
          <w:szCs w:val="18"/>
        </w:rPr>
      </w:pPr>
      <w:r w:rsidRPr="00BE1322">
        <w:rPr>
          <w:rStyle w:val="FootnoteReference"/>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FootnoteText"/>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FootnoteText"/>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NormalWeb"/>
        <w:spacing w:before="0" w:beforeAutospacing="0" w:after="0" w:afterAutospacing="0"/>
        <w:jc w:val="both"/>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NormalWeb"/>
        <w:spacing w:before="0" w:beforeAutospacing="0" w:after="160" w:afterAutospacing="0"/>
        <w:jc w:val="both"/>
        <w:rPr>
          <w:rFonts w:ascii="Arial" w:hAnsi="Arial" w:cs="Arial"/>
          <w:sz w:val="20"/>
          <w:szCs w:val="20"/>
        </w:rPr>
      </w:pPr>
    </w:p>
    <w:p w14:paraId="734BB5C1" w14:textId="77777777" w:rsidR="001A71BA" w:rsidRDefault="001A71BA" w:rsidP="001A71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5E5AE1"/>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EE1381B"/>
    <w:multiLevelType w:val="hybridMultilevel"/>
    <w:tmpl w:val="CEA8A5CA"/>
    <w:lvl w:ilvl="0" w:tplc="6ED09662">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9" w15:restartNumberingAfterBreak="0">
    <w:nsid w:val="2F9A736D"/>
    <w:multiLevelType w:val="hybridMultilevel"/>
    <w:tmpl w:val="61986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C321FF"/>
    <w:multiLevelType w:val="hybridMultilevel"/>
    <w:tmpl w:val="10CE0180"/>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7"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A67C28"/>
    <w:multiLevelType w:val="hybridMultilevel"/>
    <w:tmpl w:val="6AD4D4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4"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11"/>
  </w:num>
  <w:num w:numId="2" w16cid:durableId="449669383">
    <w:abstractNumId w:val="17"/>
  </w:num>
  <w:num w:numId="3" w16cid:durableId="1681542963">
    <w:abstractNumId w:val="2"/>
  </w:num>
  <w:num w:numId="4" w16cid:durableId="2021657991">
    <w:abstractNumId w:val="6"/>
  </w:num>
  <w:num w:numId="5" w16cid:durableId="132866609">
    <w:abstractNumId w:val="18"/>
  </w:num>
  <w:num w:numId="6" w16cid:durableId="408162091">
    <w:abstractNumId w:val="32"/>
  </w:num>
  <w:num w:numId="7" w16cid:durableId="634990135">
    <w:abstractNumId w:val="33"/>
  </w:num>
  <w:num w:numId="8" w16cid:durableId="819346757">
    <w:abstractNumId w:val="16"/>
  </w:num>
  <w:num w:numId="9" w16cid:durableId="625156943">
    <w:abstractNumId w:val="0"/>
  </w:num>
  <w:num w:numId="10" w16cid:durableId="776876079">
    <w:abstractNumId w:val="7"/>
  </w:num>
  <w:num w:numId="11" w16cid:durableId="993022486">
    <w:abstractNumId w:val="13"/>
  </w:num>
  <w:num w:numId="12" w16cid:durableId="1349021203">
    <w:abstractNumId w:val="14"/>
  </w:num>
  <w:num w:numId="13" w16cid:durableId="1859735600">
    <w:abstractNumId w:val="23"/>
  </w:num>
  <w:num w:numId="14" w16cid:durableId="1308589039">
    <w:abstractNumId w:val="5"/>
  </w:num>
  <w:num w:numId="15" w16cid:durableId="1482305889">
    <w:abstractNumId w:val="28"/>
  </w:num>
  <w:num w:numId="16" w16cid:durableId="152256294">
    <w:abstractNumId w:val="20"/>
  </w:num>
  <w:num w:numId="17" w16cid:durableId="1516917841">
    <w:abstractNumId w:val="12"/>
  </w:num>
  <w:num w:numId="18" w16cid:durableId="2105684055">
    <w:abstractNumId w:val="26"/>
  </w:num>
  <w:num w:numId="19" w16cid:durableId="371005059">
    <w:abstractNumId w:val="24"/>
  </w:num>
  <w:num w:numId="20" w16cid:durableId="1789858266">
    <w:abstractNumId w:val="31"/>
  </w:num>
  <w:num w:numId="21" w16cid:durableId="494614562">
    <w:abstractNumId w:val="25"/>
  </w:num>
  <w:num w:numId="22" w16cid:durableId="1473055655">
    <w:abstractNumId w:val="29"/>
  </w:num>
  <w:num w:numId="23" w16cid:durableId="510532351">
    <w:abstractNumId w:val="1"/>
  </w:num>
  <w:num w:numId="24" w16cid:durableId="10387477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4"/>
  </w:num>
  <w:num w:numId="26" w16cid:durableId="98263197">
    <w:abstractNumId w:val="27"/>
  </w:num>
  <w:num w:numId="27" w16cid:durableId="591427287">
    <w:abstractNumId w:val="4"/>
  </w:num>
  <w:num w:numId="28" w16cid:durableId="1017658676">
    <w:abstractNumId w:val="22"/>
  </w:num>
  <w:num w:numId="29" w16cid:durableId="1599168532">
    <w:abstractNumId w:val="10"/>
  </w:num>
  <w:num w:numId="30" w16cid:durableId="1338732942">
    <w:abstractNumId w:val="9"/>
  </w:num>
  <w:num w:numId="31" w16cid:durableId="1182890182">
    <w:abstractNumId w:val="30"/>
  </w:num>
  <w:num w:numId="32" w16cid:durableId="358313994">
    <w:abstractNumId w:val="15"/>
  </w:num>
  <w:num w:numId="33" w16cid:durableId="810905331">
    <w:abstractNumId w:val="8"/>
  </w:num>
  <w:num w:numId="34" w16cid:durableId="1699499838">
    <w:abstractNumId w:val="21"/>
  </w:num>
  <w:num w:numId="35" w16cid:durableId="69364955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05C"/>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3636"/>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533"/>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39CA"/>
    <w:rsid w:val="000D4711"/>
    <w:rsid w:val="000D4792"/>
    <w:rsid w:val="000D51B7"/>
    <w:rsid w:val="000D53CA"/>
    <w:rsid w:val="000D5B46"/>
    <w:rsid w:val="000D61A9"/>
    <w:rsid w:val="000D643A"/>
    <w:rsid w:val="000D64C7"/>
    <w:rsid w:val="000D6ACA"/>
    <w:rsid w:val="000D6E28"/>
    <w:rsid w:val="000E144D"/>
    <w:rsid w:val="000E168E"/>
    <w:rsid w:val="000E18B6"/>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7D7"/>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FCE"/>
    <w:rsid w:val="00152D61"/>
    <w:rsid w:val="00152DDA"/>
    <w:rsid w:val="001530DB"/>
    <w:rsid w:val="001548D8"/>
    <w:rsid w:val="001548DE"/>
    <w:rsid w:val="001562E6"/>
    <w:rsid w:val="00156525"/>
    <w:rsid w:val="00156798"/>
    <w:rsid w:val="00156FB8"/>
    <w:rsid w:val="001573A7"/>
    <w:rsid w:val="00160ADF"/>
    <w:rsid w:val="001641A3"/>
    <w:rsid w:val="001641D4"/>
    <w:rsid w:val="001643A3"/>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41C"/>
    <w:rsid w:val="00180BB3"/>
    <w:rsid w:val="00181894"/>
    <w:rsid w:val="001819BD"/>
    <w:rsid w:val="001843DC"/>
    <w:rsid w:val="0018519F"/>
    <w:rsid w:val="001859A6"/>
    <w:rsid w:val="00186336"/>
    <w:rsid w:val="00190A25"/>
    <w:rsid w:val="00191175"/>
    <w:rsid w:val="00191318"/>
    <w:rsid w:val="00191525"/>
    <w:rsid w:val="00191C02"/>
    <w:rsid w:val="00193202"/>
    <w:rsid w:val="0019443C"/>
    <w:rsid w:val="001948E5"/>
    <w:rsid w:val="00195473"/>
    <w:rsid w:val="00196D66"/>
    <w:rsid w:val="001A0CA1"/>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3AA6"/>
    <w:rsid w:val="001C44EE"/>
    <w:rsid w:val="001C5A9A"/>
    <w:rsid w:val="001C5DCF"/>
    <w:rsid w:val="001C6D12"/>
    <w:rsid w:val="001C7B75"/>
    <w:rsid w:val="001C7F01"/>
    <w:rsid w:val="001D0232"/>
    <w:rsid w:val="001D383F"/>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3B9F"/>
    <w:rsid w:val="001E40E6"/>
    <w:rsid w:val="001E678C"/>
    <w:rsid w:val="001E6D8F"/>
    <w:rsid w:val="001E7380"/>
    <w:rsid w:val="001E7AC0"/>
    <w:rsid w:val="001E7D3F"/>
    <w:rsid w:val="001F0743"/>
    <w:rsid w:val="001F0F1B"/>
    <w:rsid w:val="001F180C"/>
    <w:rsid w:val="001F20A4"/>
    <w:rsid w:val="001F23A2"/>
    <w:rsid w:val="001F25B1"/>
    <w:rsid w:val="001F2AA8"/>
    <w:rsid w:val="001F46A3"/>
    <w:rsid w:val="001F47D9"/>
    <w:rsid w:val="001F4D0E"/>
    <w:rsid w:val="001F6137"/>
    <w:rsid w:val="001F7AF7"/>
    <w:rsid w:val="002008ED"/>
    <w:rsid w:val="00200F35"/>
    <w:rsid w:val="00202CCD"/>
    <w:rsid w:val="00204373"/>
    <w:rsid w:val="00205398"/>
    <w:rsid w:val="0020560F"/>
    <w:rsid w:val="00206100"/>
    <w:rsid w:val="00207304"/>
    <w:rsid w:val="0020761D"/>
    <w:rsid w:val="00207E54"/>
    <w:rsid w:val="00210615"/>
    <w:rsid w:val="00210BFB"/>
    <w:rsid w:val="002117B8"/>
    <w:rsid w:val="002126E5"/>
    <w:rsid w:val="00212B8A"/>
    <w:rsid w:val="00212F36"/>
    <w:rsid w:val="002148B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8D3"/>
    <w:rsid w:val="002C7E4C"/>
    <w:rsid w:val="002D0738"/>
    <w:rsid w:val="002D1264"/>
    <w:rsid w:val="002D1B55"/>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1CDF"/>
    <w:rsid w:val="002F29B9"/>
    <w:rsid w:val="002F432D"/>
    <w:rsid w:val="002F48E2"/>
    <w:rsid w:val="002F50C3"/>
    <w:rsid w:val="002F62BF"/>
    <w:rsid w:val="002F77B1"/>
    <w:rsid w:val="002F7F51"/>
    <w:rsid w:val="003018D1"/>
    <w:rsid w:val="00301E1C"/>
    <w:rsid w:val="0030664E"/>
    <w:rsid w:val="00306961"/>
    <w:rsid w:val="00307326"/>
    <w:rsid w:val="00307330"/>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273"/>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2DB7"/>
    <w:rsid w:val="00363703"/>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BF7"/>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514"/>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157"/>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4FFF"/>
    <w:rsid w:val="004E5182"/>
    <w:rsid w:val="004E7701"/>
    <w:rsid w:val="004E7E44"/>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0CE"/>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C5D"/>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0B97"/>
    <w:rsid w:val="005A177F"/>
    <w:rsid w:val="005A2120"/>
    <w:rsid w:val="005A3175"/>
    <w:rsid w:val="005A469F"/>
    <w:rsid w:val="005A4CE6"/>
    <w:rsid w:val="005A7048"/>
    <w:rsid w:val="005A7532"/>
    <w:rsid w:val="005A761D"/>
    <w:rsid w:val="005A7D09"/>
    <w:rsid w:val="005A7E3A"/>
    <w:rsid w:val="005A7E5D"/>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D91"/>
    <w:rsid w:val="005C5E73"/>
    <w:rsid w:val="005C632F"/>
    <w:rsid w:val="005C68D1"/>
    <w:rsid w:val="005C7C7E"/>
    <w:rsid w:val="005D06F5"/>
    <w:rsid w:val="005D1AB4"/>
    <w:rsid w:val="005D2378"/>
    <w:rsid w:val="005D23E2"/>
    <w:rsid w:val="005D272F"/>
    <w:rsid w:val="005D3D50"/>
    <w:rsid w:val="005D4125"/>
    <w:rsid w:val="005D4CFA"/>
    <w:rsid w:val="005D4DA8"/>
    <w:rsid w:val="005D613E"/>
    <w:rsid w:val="005D758B"/>
    <w:rsid w:val="005D7669"/>
    <w:rsid w:val="005D78B7"/>
    <w:rsid w:val="005E0019"/>
    <w:rsid w:val="005E18CE"/>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C81"/>
    <w:rsid w:val="005F5D42"/>
    <w:rsid w:val="005F5E29"/>
    <w:rsid w:val="005F632F"/>
    <w:rsid w:val="005F6CF8"/>
    <w:rsid w:val="005F7DC1"/>
    <w:rsid w:val="00600E03"/>
    <w:rsid w:val="00601732"/>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370AB"/>
    <w:rsid w:val="00640209"/>
    <w:rsid w:val="00640B50"/>
    <w:rsid w:val="00640E29"/>
    <w:rsid w:val="0064247A"/>
    <w:rsid w:val="00642713"/>
    <w:rsid w:val="0064425F"/>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4D2A"/>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159A"/>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26"/>
    <w:rsid w:val="006E53A0"/>
    <w:rsid w:val="006E6147"/>
    <w:rsid w:val="006E7CF3"/>
    <w:rsid w:val="006F00EB"/>
    <w:rsid w:val="006F11D6"/>
    <w:rsid w:val="006F12EF"/>
    <w:rsid w:val="006F265E"/>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17A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0F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07B"/>
    <w:rsid w:val="00773698"/>
    <w:rsid w:val="0077417D"/>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3E94"/>
    <w:rsid w:val="007A4597"/>
    <w:rsid w:val="007A780C"/>
    <w:rsid w:val="007A7B82"/>
    <w:rsid w:val="007B0C5A"/>
    <w:rsid w:val="007B1019"/>
    <w:rsid w:val="007B1E5D"/>
    <w:rsid w:val="007B1E6A"/>
    <w:rsid w:val="007B1FE4"/>
    <w:rsid w:val="007B2CD6"/>
    <w:rsid w:val="007B35AB"/>
    <w:rsid w:val="007B362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BE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2F1D"/>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937"/>
    <w:rsid w:val="008C7EEB"/>
    <w:rsid w:val="008D0F44"/>
    <w:rsid w:val="008D29C9"/>
    <w:rsid w:val="008D5A21"/>
    <w:rsid w:val="008D5C09"/>
    <w:rsid w:val="008D6002"/>
    <w:rsid w:val="008D635A"/>
    <w:rsid w:val="008D6828"/>
    <w:rsid w:val="008D6932"/>
    <w:rsid w:val="008E26FD"/>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17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47F"/>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5A72"/>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CFA"/>
    <w:rsid w:val="009B2EB0"/>
    <w:rsid w:val="009B3BF4"/>
    <w:rsid w:val="009B4623"/>
    <w:rsid w:val="009B4A84"/>
    <w:rsid w:val="009B5020"/>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9F6939"/>
    <w:rsid w:val="00A027E9"/>
    <w:rsid w:val="00A04060"/>
    <w:rsid w:val="00A04D4A"/>
    <w:rsid w:val="00A05063"/>
    <w:rsid w:val="00A06326"/>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1AB"/>
    <w:rsid w:val="00A373E0"/>
    <w:rsid w:val="00A37B1C"/>
    <w:rsid w:val="00A40BE0"/>
    <w:rsid w:val="00A40CB8"/>
    <w:rsid w:val="00A413A8"/>
    <w:rsid w:val="00A4164A"/>
    <w:rsid w:val="00A4190F"/>
    <w:rsid w:val="00A41C57"/>
    <w:rsid w:val="00A420A5"/>
    <w:rsid w:val="00A42709"/>
    <w:rsid w:val="00A43B2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3ED"/>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BD4"/>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4A93"/>
    <w:rsid w:val="00AA5059"/>
    <w:rsid w:val="00AA56DB"/>
    <w:rsid w:val="00AA5AC9"/>
    <w:rsid w:val="00AA62D1"/>
    <w:rsid w:val="00AA64B1"/>
    <w:rsid w:val="00AA7283"/>
    <w:rsid w:val="00AA7486"/>
    <w:rsid w:val="00AA7871"/>
    <w:rsid w:val="00AA7C6D"/>
    <w:rsid w:val="00AB0164"/>
    <w:rsid w:val="00AB0401"/>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6AD4"/>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56E"/>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2A2"/>
    <w:rsid w:val="00B62F55"/>
    <w:rsid w:val="00B63972"/>
    <w:rsid w:val="00B65441"/>
    <w:rsid w:val="00B65F97"/>
    <w:rsid w:val="00B6617D"/>
    <w:rsid w:val="00B67629"/>
    <w:rsid w:val="00B70440"/>
    <w:rsid w:val="00B71D39"/>
    <w:rsid w:val="00B72A37"/>
    <w:rsid w:val="00B72AA3"/>
    <w:rsid w:val="00B7394A"/>
    <w:rsid w:val="00B74EEB"/>
    <w:rsid w:val="00B7624F"/>
    <w:rsid w:val="00B77196"/>
    <w:rsid w:val="00B77279"/>
    <w:rsid w:val="00B776B1"/>
    <w:rsid w:val="00B81070"/>
    <w:rsid w:val="00B82C9B"/>
    <w:rsid w:val="00B83292"/>
    <w:rsid w:val="00B835F9"/>
    <w:rsid w:val="00B83D48"/>
    <w:rsid w:val="00B85151"/>
    <w:rsid w:val="00B86060"/>
    <w:rsid w:val="00B86833"/>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5E1E"/>
    <w:rsid w:val="00BC772B"/>
    <w:rsid w:val="00BD032D"/>
    <w:rsid w:val="00BD2782"/>
    <w:rsid w:val="00BD29EC"/>
    <w:rsid w:val="00BD3969"/>
    <w:rsid w:val="00BD3B4A"/>
    <w:rsid w:val="00BD3B81"/>
    <w:rsid w:val="00BD3C06"/>
    <w:rsid w:val="00BD4F59"/>
    <w:rsid w:val="00BD507C"/>
    <w:rsid w:val="00BD51F7"/>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400E"/>
    <w:rsid w:val="00C26DE2"/>
    <w:rsid w:val="00C27426"/>
    <w:rsid w:val="00C300D3"/>
    <w:rsid w:val="00C31712"/>
    <w:rsid w:val="00C320FC"/>
    <w:rsid w:val="00C3233A"/>
    <w:rsid w:val="00C3352D"/>
    <w:rsid w:val="00C335F4"/>
    <w:rsid w:val="00C33910"/>
    <w:rsid w:val="00C33F24"/>
    <w:rsid w:val="00C34794"/>
    <w:rsid w:val="00C3628E"/>
    <w:rsid w:val="00C37B30"/>
    <w:rsid w:val="00C4011B"/>
    <w:rsid w:val="00C411FC"/>
    <w:rsid w:val="00C41807"/>
    <w:rsid w:val="00C41C73"/>
    <w:rsid w:val="00C42557"/>
    <w:rsid w:val="00C42A90"/>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5720C"/>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548"/>
    <w:rsid w:val="00C92C5A"/>
    <w:rsid w:val="00C93AA4"/>
    <w:rsid w:val="00C93E92"/>
    <w:rsid w:val="00C94B25"/>
    <w:rsid w:val="00C94BCC"/>
    <w:rsid w:val="00C95511"/>
    <w:rsid w:val="00CA0027"/>
    <w:rsid w:val="00CA092E"/>
    <w:rsid w:val="00CA1CCB"/>
    <w:rsid w:val="00CA1D56"/>
    <w:rsid w:val="00CA4D6E"/>
    <w:rsid w:val="00CA6082"/>
    <w:rsid w:val="00CA64D8"/>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53B"/>
    <w:rsid w:val="00CF27AC"/>
    <w:rsid w:val="00CF2DE3"/>
    <w:rsid w:val="00CF452D"/>
    <w:rsid w:val="00CF5509"/>
    <w:rsid w:val="00CF5A01"/>
    <w:rsid w:val="00CF7302"/>
    <w:rsid w:val="00CF7605"/>
    <w:rsid w:val="00CF7AFD"/>
    <w:rsid w:val="00D00030"/>
    <w:rsid w:val="00D00176"/>
    <w:rsid w:val="00D00664"/>
    <w:rsid w:val="00D00ADA"/>
    <w:rsid w:val="00D00C4F"/>
    <w:rsid w:val="00D00E3F"/>
    <w:rsid w:val="00D011D9"/>
    <w:rsid w:val="00D01574"/>
    <w:rsid w:val="00D018FF"/>
    <w:rsid w:val="00D02401"/>
    <w:rsid w:val="00D02EC6"/>
    <w:rsid w:val="00D02ED9"/>
    <w:rsid w:val="00D0379F"/>
    <w:rsid w:val="00D038B8"/>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D0D"/>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DD5"/>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5A49"/>
    <w:rsid w:val="00DB6498"/>
    <w:rsid w:val="00DB690E"/>
    <w:rsid w:val="00DB7A26"/>
    <w:rsid w:val="00DB7C5A"/>
    <w:rsid w:val="00DB7D83"/>
    <w:rsid w:val="00DC0928"/>
    <w:rsid w:val="00DC1F4D"/>
    <w:rsid w:val="00DC248F"/>
    <w:rsid w:val="00DC3C82"/>
    <w:rsid w:val="00DC43AE"/>
    <w:rsid w:val="00DC503B"/>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446"/>
    <w:rsid w:val="00E10931"/>
    <w:rsid w:val="00E1181E"/>
    <w:rsid w:val="00E121CB"/>
    <w:rsid w:val="00E12494"/>
    <w:rsid w:val="00E12541"/>
    <w:rsid w:val="00E134FE"/>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7AE"/>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6D15"/>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15E1"/>
    <w:rsid w:val="00F03004"/>
    <w:rsid w:val="00F03B2E"/>
    <w:rsid w:val="00F04C79"/>
    <w:rsid w:val="00F050A3"/>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2C2"/>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975"/>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1E5"/>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81"/>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1"/>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 w:type="paragraph" w:customStyle="1" w:styleId="Point1">
    <w:name w:val="Point 1"/>
    <w:basedOn w:val="Normal"/>
    <w:uiPriority w:val="99"/>
    <w:rsid w:val="00156FB8"/>
    <w:pPr>
      <w:spacing w:before="120" w:after="120"/>
      <w:ind w:left="1418" w:hanging="567"/>
    </w:pPr>
    <w:rPr>
      <w:lang w:val="en-GB"/>
    </w:rPr>
  </w:style>
  <w:style w:type="paragraph" w:customStyle="1" w:styleId="tajtip">
    <w:name w:val="tajtip"/>
    <w:basedOn w:val="Normal"/>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DefaultParagraphFont"/>
    <w:rsid w:val="003106BD"/>
    <w:rPr>
      <w:rFonts w:ascii="Segoe UI" w:hAnsi="Segoe UI" w:cs="Segoe UI" w:hint="default"/>
      <w:sz w:val="18"/>
      <w:szCs w:val="18"/>
    </w:rPr>
  </w:style>
  <w:style w:type="character" w:styleId="Strong">
    <w:name w:val="Strong"/>
    <w:basedOn w:val="DefaultParagraphFont"/>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PlaceholderText"/>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83636"/>
    <w:rsid w:val="00094A90"/>
    <w:rsid w:val="00095508"/>
    <w:rsid w:val="000C3617"/>
    <w:rsid w:val="000C3C84"/>
    <w:rsid w:val="000D1219"/>
    <w:rsid w:val="000D4FF2"/>
    <w:rsid w:val="000D64C7"/>
    <w:rsid w:val="000E18B6"/>
    <w:rsid w:val="000E36EA"/>
    <w:rsid w:val="001000ED"/>
    <w:rsid w:val="0011444A"/>
    <w:rsid w:val="001173AE"/>
    <w:rsid w:val="00121114"/>
    <w:rsid w:val="00127A49"/>
    <w:rsid w:val="00142FA0"/>
    <w:rsid w:val="0015196E"/>
    <w:rsid w:val="00153D0E"/>
    <w:rsid w:val="001631B1"/>
    <w:rsid w:val="001643DE"/>
    <w:rsid w:val="001A233C"/>
    <w:rsid w:val="001A28B0"/>
    <w:rsid w:val="001A5628"/>
    <w:rsid w:val="001A6E0F"/>
    <w:rsid w:val="001D2C7D"/>
    <w:rsid w:val="001E7380"/>
    <w:rsid w:val="001F0DFD"/>
    <w:rsid w:val="0022465C"/>
    <w:rsid w:val="00244C4B"/>
    <w:rsid w:val="00244CE3"/>
    <w:rsid w:val="0028079E"/>
    <w:rsid w:val="00283C8C"/>
    <w:rsid w:val="002B0F7C"/>
    <w:rsid w:val="002B4AD4"/>
    <w:rsid w:val="002C5127"/>
    <w:rsid w:val="002C78D3"/>
    <w:rsid w:val="002C7C3E"/>
    <w:rsid w:val="00304F3B"/>
    <w:rsid w:val="00307330"/>
    <w:rsid w:val="00310C0B"/>
    <w:rsid w:val="003248DC"/>
    <w:rsid w:val="00340203"/>
    <w:rsid w:val="00344298"/>
    <w:rsid w:val="00345D42"/>
    <w:rsid w:val="003544F6"/>
    <w:rsid w:val="00366897"/>
    <w:rsid w:val="00376E1D"/>
    <w:rsid w:val="00380F3F"/>
    <w:rsid w:val="00393F43"/>
    <w:rsid w:val="003A7D7A"/>
    <w:rsid w:val="003B2BBC"/>
    <w:rsid w:val="003C4942"/>
    <w:rsid w:val="003D6212"/>
    <w:rsid w:val="003E524A"/>
    <w:rsid w:val="003F175D"/>
    <w:rsid w:val="00401C7D"/>
    <w:rsid w:val="004115D5"/>
    <w:rsid w:val="0042166F"/>
    <w:rsid w:val="0042525B"/>
    <w:rsid w:val="004510FC"/>
    <w:rsid w:val="00481B72"/>
    <w:rsid w:val="00482369"/>
    <w:rsid w:val="00483217"/>
    <w:rsid w:val="00497102"/>
    <w:rsid w:val="004A5427"/>
    <w:rsid w:val="004A5C3F"/>
    <w:rsid w:val="004B650B"/>
    <w:rsid w:val="004C3F0A"/>
    <w:rsid w:val="004D2231"/>
    <w:rsid w:val="004D35F5"/>
    <w:rsid w:val="004E29FA"/>
    <w:rsid w:val="00500CFA"/>
    <w:rsid w:val="005063A7"/>
    <w:rsid w:val="00521512"/>
    <w:rsid w:val="005240CE"/>
    <w:rsid w:val="0052688C"/>
    <w:rsid w:val="00551D8D"/>
    <w:rsid w:val="005563F8"/>
    <w:rsid w:val="00577C5D"/>
    <w:rsid w:val="00584DF6"/>
    <w:rsid w:val="00594925"/>
    <w:rsid w:val="005A0B97"/>
    <w:rsid w:val="005A219D"/>
    <w:rsid w:val="005C13A5"/>
    <w:rsid w:val="005D5845"/>
    <w:rsid w:val="005F464E"/>
    <w:rsid w:val="00601974"/>
    <w:rsid w:val="0061695B"/>
    <w:rsid w:val="006370AB"/>
    <w:rsid w:val="0064247A"/>
    <w:rsid w:val="006559C5"/>
    <w:rsid w:val="00655E4D"/>
    <w:rsid w:val="0066053A"/>
    <w:rsid w:val="00674513"/>
    <w:rsid w:val="006C355C"/>
    <w:rsid w:val="00702681"/>
    <w:rsid w:val="00716EAA"/>
    <w:rsid w:val="00720A5E"/>
    <w:rsid w:val="00724FFD"/>
    <w:rsid w:val="00773698"/>
    <w:rsid w:val="00774AE0"/>
    <w:rsid w:val="00783470"/>
    <w:rsid w:val="007B1019"/>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876C0"/>
    <w:rsid w:val="008948F9"/>
    <w:rsid w:val="00897606"/>
    <w:rsid w:val="008A263F"/>
    <w:rsid w:val="008A488B"/>
    <w:rsid w:val="008A64D3"/>
    <w:rsid w:val="008C34C5"/>
    <w:rsid w:val="008C574E"/>
    <w:rsid w:val="008D635A"/>
    <w:rsid w:val="008D7576"/>
    <w:rsid w:val="008D7598"/>
    <w:rsid w:val="008E5837"/>
    <w:rsid w:val="008E749A"/>
    <w:rsid w:val="009113DF"/>
    <w:rsid w:val="009315EC"/>
    <w:rsid w:val="00957883"/>
    <w:rsid w:val="00961945"/>
    <w:rsid w:val="009626F8"/>
    <w:rsid w:val="00972D07"/>
    <w:rsid w:val="00976C29"/>
    <w:rsid w:val="00981636"/>
    <w:rsid w:val="009842F0"/>
    <w:rsid w:val="009A6D37"/>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BD51F7"/>
    <w:rsid w:val="00BE4D7A"/>
    <w:rsid w:val="00C03D85"/>
    <w:rsid w:val="00C364B4"/>
    <w:rsid w:val="00C411FC"/>
    <w:rsid w:val="00C41691"/>
    <w:rsid w:val="00C44923"/>
    <w:rsid w:val="00C51F82"/>
    <w:rsid w:val="00C74436"/>
    <w:rsid w:val="00C919FF"/>
    <w:rsid w:val="00C92548"/>
    <w:rsid w:val="00CB7754"/>
    <w:rsid w:val="00CE33FB"/>
    <w:rsid w:val="00CE70F2"/>
    <w:rsid w:val="00CF074C"/>
    <w:rsid w:val="00D52390"/>
    <w:rsid w:val="00D54F47"/>
    <w:rsid w:val="00D56EFB"/>
    <w:rsid w:val="00D63366"/>
    <w:rsid w:val="00D65316"/>
    <w:rsid w:val="00D74586"/>
    <w:rsid w:val="00D75170"/>
    <w:rsid w:val="00D81F66"/>
    <w:rsid w:val="00D84AA0"/>
    <w:rsid w:val="00DA183F"/>
    <w:rsid w:val="00DE260C"/>
    <w:rsid w:val="00DF254E"/>
    <w:rsid w:val="00DF762E"/>
    <w:rsid w:val="00E024CB"/>
    <w:rsid w:val="00E03887"/>
    <w:rsid w:val="00E07382"/>
    <w:rsid w:val="00E17036"/>
    <w:rsid w:val="00E354ED"/>
    <w:rsid w:val="00E370CA"/>
    <w:rsid w:val="00E47F17"/>
    <w:rsid w:val="00E55189"/>
    <w:rsid w:val="00E57061"/>
    <w:rsid w:val="00E84BE0"/>
    <w:rsid w:val="00E8545D"/>
    <w:rsid w:val="00E9149F"/>
    <w:rsid w:val="00EB0E25"/>
    <w:rsid w:val="00EB7109"/>
    <w:rsid w:val="00EB7C7E"/>
    <w:rsid w:val="00EC71C3"/>
    <w:rsid w:val="00ED1844"/>
    <w:rsid w:val="00ED5465"/>
    <w:rsid w:val="00ED6D15"/>
    <w:rsid w:val="00EE16FC"/>
    <w:rsid w:val="00EE46B2"/>
    <w:rsid w:val="00F015E1"/>
    <w:rsid w:val="00F056B0"/>
    <w:rsid w:val="00F07462"/>
    <w:rsid w:val="00F134E5"/>
    <w:rsid w:val="00F24C1B"/>
    <w:rsid w:val="00F2504E"/>
    <w:rsid w:val="00F30FFC"/>
    <w:rsid w:val="00F33E14"/>
    <w:rsid w:val="00F52975"/>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0ED"/>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30109</Words>
  <Characters>17163</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17</cp:revision>
  <cp:lastPrinted>2019-05-27T13:27:00Z</cp:lastPrinted>
  <dcterms:created xsi:type="dcterms:W3CDTF">2026-03-29T09:05:00Z</dcterms:created>
  <dcterms:modified xsi:type="dcterms:W3CDTF">2026-04-08T13:33:00Z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