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270A4B6D" w:rsidR="0036315E" w:rsidRPr="00661985" w:rsidRDefault="00FD34C2" w:rsidP="00FD34C2">
      <w:pPr>
        <w:tabs>
          <w:tab w:val="left" w:pos="8789"/>
        </w:tabs>
        <w:spacing w:after="0" w:line="240" w:lineRule="auto"/>
        <w:ind w:right="140"/>
        <w:jc w:val="center"/>
        <w:rPr>
          <w:rFonts w:ascii="Times New Roman" w:hAnsi="Times New Roman"/>
          <w:b/>
          <w:color w:val="000000"/>
          <w:sz w:val="24"/>
          <w:szCs w:val="24"/>
        </w:rPr>
      </w:pPr>
      <w:r w:rsidRPr="00FD34C2">
        <w:rPr>
          <w:rFonts w:ascii="Times New Roman" w:eastAsia="Times New Roman" w:hAnsi="Times New Roman"/>
          <w:b/>
          <w:bCs/>
          <w:sz w:val="24"/>
          <w:szCs w:val="24"/>
        </w:rPr>
        <w:t>STATYBOS DARBŲ ŽURNALŲ PILDYMO IR SAUGOJIMO PASLAUG</w:t>
      </w:r>
      <w:r>
        <w:rPr>
          <w:rFonts w:ascii="Times New Roman" w:eastAsia="Times New Roman" w:hAnsi="Times New Roman"/>
          <w:b/>
          <w:bCs/>
          <w:sz w:val="24"/>
          <w:szCs w:val="24"/>
        </w:rPr>
        <w:t>Ų</w:t>
      </w:r>
      <w:r w:rsidRPr="00DF1DD4">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5E1496F" w:rsidR="00D84FD9" w:rsidRPr="002F193F" w:rsidRDefault="00D84FD9" w:rsidP="00FD34C2">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2" w:name="_Hlk205194032"/>
      <w:r w:rsidR="00FD34C2" w:rsidRPr="00FD34C2">
        <w:rPr>
          <w:rFonts w:ascii="Times New Roman" w:eastAsia="Times New Roman" w:hAnsi="Times New Roman"/>
          <w:b/>
          <w:bCs/>
          <w:sz w:val="24"/>
          <w:szCs w:val="24"/>
        </w:rPr>
        <w:t>statybos darbų žurnalų pildymo ir saugojimo paslaugas</w:t>
      </w:r>
      <w:r w:rsidR="00ED332B" w:rsidRPr="00A308B9">
        <w:rPr>
          <w:rFonts w:ascii="Times New Roman" w:hAnsi="Times New Roman"/>
          <w:color w:val="000000"/>
          <w:sz w:val="24"/>
          <w:szCs w:val="24"/>
        </w:rPr>
        <w:t xml:space="preserve"> </w:t>
      </w:r>
      <w:bookmarkEnd w:id="2"/>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4E06DC">
        <w:rPr>
          <w:rFonts w:ascii="Times New Roman" w:hAnsi="Times New Roman"/>
          <w:color w:val="000000"/>
          <w:sz w:val="24"/>
          <w:szCs w:val="24"/>
        </w:rPr>
        <w:t>p</w:t>
      </w:r>
      <w:r w:rsidR="00FD34C2">
        <w:rPr>
          <w:rFonts w:ascii="Times New Roman" w:hAnsi="Times New Roman"/>
          <w:color w:val="000000"/>
          <w:sz w:val="24"/>
          <w:szCs w:val="24"/>
        </w:rPr>
        <w:t>aslaugos</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83072">
        <w:rPr>
          <w:rFonts w:ascii="Times New Roman" w:eastAsia="Times New Roman" w:hAnsi="Times New Roman"/>
          <w:sz w:val="24"/>
          <w:szCs w:val="24"/>
        </w:rPr>
        <w:t>72512000-7.</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55D6E17D"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w:t>
      </w:r>
      <w:r w:rsidR="00FD34C2">
        <w:rPr>
          <w:rFonts w:ascii="Times New Roman" w:eastAsia="Times New Roman" w:hAnsi="Times New Roman"/>
          <w:sz w:val="24"/>
          <w:szCs w:val="24"/>
        </w:rPr>
        <w:t>3</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51BD718B" w:rsidR="008071A3" w:rsidRPr="00FD34C2" w:rsidRDefault="00D84FD9" w:rsidP="00FD34C2">
      <w:pPr>
        <w:widowControl w:val="0"/>
        <w:tabs>
          <w:tab w:val="left" w:pos="709"/>
        </w:tabs>
        <w:spacing w:after="0" w:line="240" w:lineRule="auto"/>
        <w:ind w:firstLine="567"/>
        <w:jc w:val="both"/>
        <w:outlineLvl w:val="1"/>
        <w:rPr>
          <w:rFonts w:ascii="Times New Roman" w:hAnsi="Times New Roman"/>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FD34C2" w:rsidRPr="00FD34C2">
        <w:rPr>
          <w:rFonts w:ascii="Times New Roman" w:hAnsi="Times New Roman"/>
          <w:sz w:val="24"/>
          <w:szCs w:val="24"/>
        </w:rPr>
        <w:t>Teikti statybos darbų žurnalo</w:t>
      </w:r>
      <w:r w:rsidR="00FD34C2">
        <w:rPr>
          <w:rFonts w:ascii="Times New Roman" w:hAnsi="Times New Roman"/>
          <w:sz w:val="24"/>
          <w:szCs w:val="24"/>
        </w:rPr>
        <w:t xml:space="preserve"> </w:t>
      </w:r>
      <w:r w:rsidR="00FD34C2" w:rsidRPr="00FD34C2">
        <w:rPr>
          <w:rFonts w:ascii="Times New Roman" w:hAnsi="Times New Roman"/>
          <w:sz w:val="24"/>
          <w:szCs w:val="24"/>
        </w:rPr>
        <w:t>pildymo ir saugojimo</w:t>
      </w:r>
      <w:r w:rsidR="00FD34C2">
        <w:rPr>
          <w:rFonts w:ascii="Times New Roman" w:hAnsi="Times New Roman"/>
          <w:sz w:val="24"/>
          <w:szCs w:val="24"/>
        </w:rPr>
        <w:t xml:space="preserve"> </w:t>
      </w:r>
      <w:r w:rsidR="00FD34C2" w:rsidRPr="00FD34C2">
        <w:rPr>
          <w:rFonts w:ascii="Times New Roman" w:hAnsi="Times New Roman"/>
          <w:sz w:val="24"/>
          <w:szCs w:val="24"/>
        </w:rPr>
        <w:t>paslaugą.</w:t>
      </w:r>
      <w:r w:rsidR="00FD34C2">
        <w:rPr>
          <w:rFonts w:ascii="Times New Roman" w:hAnsi="Times New Roman"/>
          <w:sz w:val="24"/>
          <w:szCs w:val="24"/>
        </w:rPr>
        <w:t xml:space="preserve"> </w:t>
      </w:r>
      <w:r w:rsidR="00FD34C2" w:rsidRPr="00FD34C2">
        <w:rPr>
          <w:rFonts w:ascii="Times New Roman" w:hAnsi="Times New Roman"/>
          <w:sz w:val="24"/>
          <w:szCs w:val="24"/>
        </w:rPr>
        <w:t>Reikalavimas pildyti elektroninį žurnalą numatytas 2022 m. birželio 1 d. LR Aplinkos ministro įsakyme „Dėl Lietuvos Respublikos Aplinkos ministro 2016 m. gruodžio 2 d. įsakymo Nr. D1-848 „Dėl statybos techninio reglamento STR 1.06.01:2016 „Statybos darbai. statinio statybos priežiūra“ patvirtinimo“ pakeitimo“.</w:t>
      </w:r>
      <w:r w:rsidR="00FD34C2">
        <w:rPr>
          <w:rFonts w:ascii="Times New Roman" w:hAnsi="Times New Roman"/>
          <w:sz w:val="24"/>
          <w:szCs w:val="24"/>
        </w:rPr>
        <w:t xml:space="preserve"> </w:t>
      </w:r>
      <w:r w:rsidR="00FD34C2" w:rsidRPr="00FD34C2">
        <w:rPr>
          <w:rFonts w:ascii="Times New Roman" w:hAnsi="Times New Roman"/>
          <w:sz w:val="24"/>
          <w:szCs w:val="24"/>
        </w:rPr>
        <w:t>Reikalavimai paslaugai numatyti Elektroninio statybos darbų žurnalo teikimo paslaugų</w:t>
      </w:r>
      <w:r w:rsidR="00FD34C2">
        <w:rPr>
          <w:rFonts w:ascii="Times New Roman" w:hAnsi="Times New Roman"/>
          <w:sz w:val="24"/>
          <w:szCs w:val="24"/>
        </w:rPr>
        <w:t xml:space="preserve"> T</w:t>
      </w:r>
      <w:r w:rsidR="00FD34C2" w:rsidRPr="00FD34C2">
        <w:rPr>
          <w:rFonts w:ascii="Times New Roman" w:hAnsi="Times New Roman"/>
          <w:sz w:val="24"/>
          <w:szCs w:val="24"/>
        </w:rPr>
        <w:t>echninėje specifikacijoje</w:t>
      </w:r>
      <w:r w:rsidR="00FD34C2">
        <w:rPr>
          <w:rFonts w:ascii="Times New Roman" w:hAnsi="Times New Roman"/>
          <w:sz w:val="24"/>
          <w:szCs w:val="24"/>
        </w:rPr>
        <w:t xml:space="preserve"> (</w:t>
      </w:r>
      <w:r w:rsidR="00FE01C0">
        <w:rPr>
          <w:rFonts w:ascii="Times New Roman" w:hAnsi="Times New Roman"/>
          <w:sz w:val="24"/>
          <w:szCs w:val="24"/>
        </w:rPr>
        <w:t>pridedama</w:t>
      </w:r>
      <w:r w:rsidR="00FD34C2">
        <w:rPr>
          <w:rFonts w:ascii="Times New Roman" w:hAnsi="Times New Roman"/>
          <w:sz w:val="24"/>
          <w:szCs w:val="24"/>
        </w:rPr>
        <w:t xml:space="preserve">s </w:t>
      </w:r>
      <w:r w:rsidR="00FE01C0">
        <w:rPr>
          <w:rFonts w:ascii="Times New Roman" w:hAnsi="Times New Roman"/>
          <w:sz w:val="24"/>
          <w:szCs w:val="24"/>
        </w:rPr>
        <w:t xml:space="preserve">2 priedas). </w:t>
      </w:r>
    </w:p>
    <w:p w14:paraId="79E893B5" w14:textId="77777777" w:rsidR="00D84FD9" w:rsidRPr="00A308B9" w:rsidRDefault="00D84FD9" w:rsidP="004E06DC">
      <w:pPr>
        <w:pStyle w:val="Pagrindiniotekstotrauka"/>
        <w:spacing w:after="0" w:line="240" w:lineRule="auto"/>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79EEE082" w:rsidR="00661985" w:rsidRPr="00A308B9" w:rsidRDefault="006B6040" w:rsidP="004E06DC">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4E06DC">
        <w:rPr>
          <w:rFonts w:ascii="Times New Roman" w:hAnsi="Times New Roman"/>
          <w:color w:val="000000"/>
          <w:sz w:val="24"/>
          <w:szCs w:val="24"/>
        </w:rPr>
        <w:t>P</w:t>
      </w:r>
      <w:r w:rsidR="00FD34C2">
        <w:rPr>
          <w:rFonts w:ascii="Times New Roman" w:hAnsi="Times New Roman"/>
          <w:color w:val="000000"/>
          <w:sz w:val="24"/>
          <w:szCs w:val="24"/>
        </w:rPr>
        <w:t>aslaugų</w:t>
      </w:r>
      <w:r w:rsidR="004E06DC">
        <w:rPr>
          <w:rFonts w:ascii="Times New Roman" w:hAnsi="Times New Roman"/>
          <w:color w:val="000000"/>
          <w:sz w:val="24"/>
          <w:szCs w:val="24"/>
        </w:rPr>
        <w:t xml:space="preserve"> </w:t>
      </w:r>
      <w:r w:rsidR="00FD34C2">
        <w:rPr>
          <w:rFonts w:ascii="Times New Roman" w:hAnsi="Times New Roman"/>
          <w:color w:val="000000"/>
          <w:sz w:val="24"/>
          <w:szCs w:val="24"/>
        </w:rPr>
        <w:t>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FD34C2" w:rsidRPr="00FD34C2">
        <w:rPr>
          <w:rFonts w:ascii="Times New Roman" w:hAnsi="Times New Roman"/>
          <w:sz w:val="24"/>
          <w:szCs w:val="24"/>
        </w:rPr>
        <w:t>Orientacinis žurnalų poreikis – 90 žurnalų per 3 metus</w:t>
      </w:r>
      <w:r w:rsidR="00FD34C2">
        <w:rPr>
          <w:rFonts w:ascii="Times New Roman" w:hAnsi="Times New Roman"/>
          <w:sz w:val="24"/>
          <w:szCs w:val="24"/>
        </w:rPr>
        <w:t>.</w:t>
      </w:r>
    </w:p>
    <w:p w14:paraId="461C6B6A" w14:textId="05FE9BCA" w:rsidR="0066666D" w:rsidRPr="00A308B9" w:rsidRDefault="007C540E" w:rsidP="007D0B8A">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 xml:space="preserve">.4. </w:t>
      </w:r>
      <w:r w:rsidR="00FD34C2">
        <w:rPr>
          <w:rFonts w:ascii="Times New Roman" w:hAnsi="Times New Roman"/>
          <w:sz w:val="24"/>
          <w:szCs w:val="24"/>
        </w:rPr>
        <w:t>Paslaugų atlikimo</w:t>
      </w:r>
      <w:r w:rsidR="004E06DC">
        <w:rPr>
          <w:rFonts w:ascii="Times New Roman" w:hAnsi="Times New Roman"/>
          <w:sz w:val="24"/>
          <w:szCs w:val="24"/>
        </w:rPr>
        <w:t xml:space="preserve"> </w:t>
      </w:r>
      <w:r w:rsidRPr="00A308B9">
        <w:rPr>
          <w:rFonts w:ascii="Times New Roman" w:hAnsi="Times New Roman"/>
          <w:sz w:val="24"/>
          <w:szCs w:val="24"/>
        </w:rPr>
        <w:t>vieta</w:t>
      </w:r>
      <w:r w:rsidR="00220BA4" w:rsidRPr="00A308B9">
        <w:rPr>
          <w:rFonts w:ascii="Times New Roman" w:hAnsi="Times New Roman"/>
          <w:sz w:val="24"/>
          <w:szCs w:val="24"/>
        </w:rPr>
        <w:t xml:space="preserve">: </w:t>
      </w:r>
      <w:r w:rsidR="00A957BD">
        <w:rPr>
          <w:rFonts w:ascii="Times New Roman" w:eastAsia="Times New Roman" w:hAnsi="Times New Roman"/>
          <w:sz w:val="24"/>
          <w:szCs w:val="24"/>
        </w:rPr>
        <w:t xml:space="preserve">Vilniaus g. </w:t>
      </w:r>
      <w:r w:rsidR="00304EFB">
        <w:rPr>
          <w:rFonts w:ascii="Times New Roman" w:eastAsia="Times New Roman" w:hAnsi="Times New Roman"/>
          <w:sz w:val="24"/>
          <w:szCs w:val="24"/>
        </w:rPr>
        <w:t>19</w:t>
      </w:r>
      <w:r w:rsidR="00A957BD">
        <w:rPr>
          <w:rFonts w:ascii="Times New Roman" w:eastAsia="Times New Roman" w:hAnsi="Times New Roman"/>
          <w:sz w:val="24"/>
          <w:szCs w:val="24"/>
        </w:rPr>
        <w:t xml:space="preserve">, </w:t>
      </w:r>
      <w:r w:rsidR="00A308B9" w:rsidRPr="00A308B9">
        <w:rPr>
          <w:rFonts w:ascii="Times New Roman" w:eastAsia="Times New Roman" w:hAnsi="Times New Roman"/>
          <w:sz w:val="24"/>
          <w:szCs w:val="24"/>
        </w:rPr>
        <w:t>Švenčion</w:t>
      </w:r>
      <w:r w:rsidR="004E06DC">
        <w:rPr>
          <w:rFonts w:ascii="Times New Roman" w:eastAsia="Times New Roman" w:hAnsi="Times New Roman"/>
          <w:sz w:val="24"/>
          <w:szCs w:val="24"/>
        </w:rPr>
        <w:t>ys.</w:t>
      </w:r>
    </w:p>
    <w:p w14:paraId="7F5BA57C" w14:textId="2A81BFF4"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 xml:space="preserve">2.5. </w:t>
      </w:r>
      <w:r w:rsidR="00FD34C2">
        <w:rPr>
          <w:rFonts w:ascii="Times New Roman" w:hAnsi="Times New Roman"/>
          <w:sz w:val="24"/>
          <w:szCs w:val="24"/>
        </w:rPr>
        <w:t xml:space="preserve">Paslaugų 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FD34C2">
        <w:rPr>
          <w:rFonts w:ascii="Times New Roman" w:eastAsia="Times New Roman" w:hAnsi="Times New Roman"/>
          <w:sz w:val="24"/>
          <w:szCs w:val="24"/>
        </w:rPr>
        <w:t>36 mėn.</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32EB951E" w14:textId="77777777" w:rsidR="00F304F3" w:rsidRDefault="00F304F3" w:rsidP="0085140D">
      <w:pPr>
        <w:spacing w:after="0" w:line="240" w:lineRule="auto"/>
        <w:jc w:val="center"/>
        <w:outlineLvl w:val="0"/>
        <w:rPr>
          <w:rFonts w:ascii="Times New Roman" w:hAnsi="Times New Roman"/>
          <w:b/>
          <w:bCs/>
          <w:caps/>
          <w:color w:val="000000"/>
          <w:spacing w:val="4"/>
          <w:sz w:val="24"/>
          <w:szCs w:val="24"/>
          <w:lang w:eastAsia="lt-LT"/>
        </w:rPr>
      </w:pPr>
    </w:p>
    <w:p w14:paraId="136B09C8" w14:textId="7E2C2B71" w:rsidR="00F304F3" w:rsidRDefault="00F304F3" w:rsidP="007E4E51">
      <w:pPr>
        <w:spacing w:after="0" w:line="240" w:lineRule="auto"/>
        <w:ind w:firstLine="567"/>
        <w:jc w:val="both"/>
        <w:textAlignment w:val="baseline"/>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lastRenderedPageBreak/>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Pr>
          <w:rFonts w:ascii="Times New Roman" w:eastAsia="Times New Roman" w:hAnsi="Times New Roman"/>
          <w:sz w:val="24"/>
          <w:szCs w:val="20"/>
        </w:rPr>
        <w:t>.</w:t>
      </w:r>
      <w:r w:rsidR="007E4E51">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06BEDAC3" w14:textId="77777777" w:rsidR="00F304F3" w:rsidRDefault="00F304F3" w:rsidP="00F304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F304F3" w:rsidRPr="007849B0" w14:paraId="7609B685" w14:textId="77777777" w:rsidTr="00807560">
        <w:tc>
          <w:tcPr>
            <w:tcW w:w="880" w:type="dxa"/>
            <w:tcBorders>
              <w:top w:val="single" w:sz="4" w:space="0" w:color="auto"/>
              <w:left w:val="single" w:sz="4" w:space="0" w:color="auto"/>
              <w:bottom w:val="single" w:sz="4" w:space="0" w:color="auto"/>
              <w:right w:val="single" w:sz="4" w:space="0" w:color="auto"/>
            </w:tcBorders>
            <w:vAlign w:val="center"/>
            <w:hideMark/>
          </w:tcPr>
          <w:p w14:paraId="62DB26C8" w14:textId="77777777" w:rsidR="00F304F3" w:rsidRPr="007849B0" w:rsidRDefault="00F304F3" w:rsidP="00807560">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6BAC7D" w14:textId="77777777" w:rsidR="00F304F3" w:rsidRPr="007849B0" w:rsidRDefault="00F304F3" w:rsidP="00807560">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19C4E51E" w14:textId="77777777" w:rsidR="00F304F3" w:rsidRPr="007849B0" w:rsidRDefault="00F304F3" w:rsidP="00807560">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968219" w14:textId="77777777" w:rsidR="00F304F3" w:rsidRPr="007849B0" w:rsidRDefault="00F304F3" w:rsidP="00807560">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304F3" w:rsidRPr="007849B0" w14:paraId="03E0E65C" w14:textId="77777777" w:rsidTr="00807560">
        <w:trPr>
          <w:trHeight w:val="177"/>
        </w:trPr>
        <w:tc>
          <w:tcPr>
            <w:tcW w:w="880" w:type="dxa"/>
            <w:tcBorders>
              <w:top w:val="single" w:sz="4" w:space="0" w:color="auto"/>
              <w:left w:val="single" w:sz="4" w:space="0" w:color="auto"/>
              <w:bottom w:val="single" w:sz="4" w:space="0" w:color="auto"/>
              <w:right w:val="single" w:sz="4" w:space="0" w:color="auto"/>
            </w:tcBorders>
          </w:tcPr>
          <w:p w14:paraId="6DAC0A6B" w14:textId="77777777" w:rsidR="00F304F3" w:rsidRPr="007849B0" w:rsidRDefault="00F304F3" w:rsidP="00807560">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C189FAE" w14:textId="77777777" w:rsidR="00F304F3" w:rsidRPr="007849B0" w:rsidRDefault="00F304F3" w:rsidP="00807560">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57B2DD4E" w14:textId="77777777" w:rsidR="00F304F3" w:rsidRPr="007849B0" w:rsidRDefault="00F304F3" w:rsidP="00807560">
            <w:pPr>
              <w:spacing w:after="0" w:line="256" w:lineRule="auto"/>
              <w:jc w:val="both"/>
              <w:rPr>
                <w:rFonts w:ascii="Times New Roman" w:eastAsia="Times New Roman" w:hAnsi="Times New Roman"/>
                <w:sz w:val="24"/>
                <w:szCs w:val="24"/>
              </w:rPr>
            </w:pPr>
          </w:p>
        </w:tc>
      </w:tr>
      <w:tr w:rsidR="00F304F3" w:rsidRPr="007849B0" w14:paraId="6B6D69B6" w14:textId="77777777" w:rsidTr="00807560">
        <w:tc>
          <w:tcPr>
            <w:tcW w:w="880" w:type="dxa"/>
            <w:tcBorders>
              <w:top w:val="single" w:sz="4" w:space="0" w:color="auto"/>
              <w:left w:val="single" w:sz="4" w:space="0" w:color="auto"/>
              <w:bottom w:val="single" w:sz="4" w:space="0" w:color="auto"/>
              <w:right w:val="single" w:sz="4" w:space="0" w:color="auto"/>
            </w:tcBorders>
            <w:hideMark/>
          </w:tcPr>
          <w:p w14:paraId="65F215E9" w14:textId="77777777" w:rsidR="00F304F3" w:rsidRPr="007849B0" w:rsidRDefault="00F304F3" w:rsidP="00807560">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33F7838" w14:textId="25958FEC" w:rsidR="007E4E51" w:rsidRPr="007E4E51"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Tiekėjas per paskutinius 3 (tris) metus iki pasiūlymo pateikimo termino pabaigos pagal vieną ar daugiau sutarčių yra suteikęs elektroninių statybos darbų žurnalų pildymo ir (ar) saugojimo paslaugų, kurių suminė vertė yra ne mažesnė nei 14 000 Eur (keturiolika tūkstančių eurų) be PVM.</w:t>
            </w:r>
          </w:p>
        </w:tc>
        <w:tc>
          <w:tcPr>
            <w:tcW w:w="4365" w:type="dxa"/>
          </w:tcPr>
          <w:p w14:paraId="54809D58" w14:textId="77777777" w:rsidR="0042574B"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 xml:space="preserve">Pateikiami dokumentai: </w:t>
            </w:r>
          </w:p>
          <w:p w14:paraId="1F9B31E2" w14:textId="2B8BAC92" w:rsidR="007E4E51" w:rsidRPr="007E4E51" w:rsidRDefault="0042574B" w:rsidP="007E4E51">
            <w:pPr>
              <w:spacing w:after="0" w:line="240" w:lineRule="auto"/>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1) </w:t>
            </w:r>
            <w:r w:rsidR="007E4E51" w:rsidRPr="007E4E51">
              <w:rPr>
                <w:rFonts w:ascii="Times New Roman" w:hAnsi="Times New Roman"/>
                <w:sz w:val="24"/>
                <w:szCs w:val="24"/>
                <w14:ligatures w14:val="standardContextual"/>
              </w:rPr>
              <w:t>Įvykdytų sutarčių sąrašas, pateikiant šią informaciją:</w:t>
            </w:r>
          </w:p>
          <w:p w14:paraId="1FD56CF7" w14:textId="24FB278D" w:rsidR="007E4E51" w:rsidRPr="007E4E51"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 sutarties numeris ir data;</w:t>
            </w:r>
          </w:p>
          <w:p w14:paraId="59C20C9B" w14:textId="0B92946F" w:rsidR="007E4E51" w:rsidRPr="007E4E51"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 trumpas pirkimo objekto (įvykdytų paslaugų ) aprašymas;</w:t>
            </w:r>
          </w:p>
          <w:p w14:paraId="046A7E17" w14:textId="22D292CB" w:rsidR="007E4E51" w:rsidRPr="007E4E51" w:rsidRDefault="007E4E51" w:rsidP="007E4E51">
            <w:pPr>
              <w:spacing w:after="0" w:line="240" w:lineRule="auto"/>
              <w:jc w:val="both"/>
              <w:rPr>
                <w:rFonts w:ascii="Times New Roman" w:eastAsia="Times New Roman" w:hAnsi="Times New Roman"/>
                <w:sz w:val="24"/>
                <w:szCs w:val="24"/>
                <w14:ligatures w14:val="standardContextual"/>
              </w:rPr>
            </w:pPr>
            <w:r w:rsidRPr="007E4E51">
              <w:rPr>
                <w:rFonts w:ascii="Times New Roman" w:eastAsia="Times New Roman" w:hAnsi="Times New Roman"/>
                <w:sz w:val="24"/>
                <w:szCs w:val="24"/>
                <w14:ligatures w14:val="standardContextual"/>
              </w:rPr>
              <w:t xml:space="preserve"> </w:t>
            </w:r>
            <w:r>
              <w:rPr>
                <w:rFonts w:ascii="Times New Roman" w:eastAsia="Times New Roman" w:hAnsi="Times New Roman"/>
                <w:sz w:val="24"/>
                <w:szCs w:val="24"/>
                <w14:ligatures w14:val="standardContextual"/>
              </w:rPr>
              <w:t xml:space="preserve">- </w:t>
            </w:r>
            <w:r w:rsidRPr="007E4E51">
              <w:rPr>
                <w:rFonts w:ascii="Times New Roman" w:eastAsia="Times New Roman" w:hAnsi="Times New Roman"/>
                <w:sz w:val="24"/>
                <w:szCs w:val="24"/>
                <w14:ligatures w14:val="standardContextual"/>
              </w:rPr>
              <w:t>paslaugos vykdymo pradžios ir pabaigos data ir vieta;</w:t>
            </w:r>
          </w:p>
          <w:p w14:paraId="0473DB6D" w14:textId="37226A3A" w:rsidR="007E4E51" w:rsidRPr="007E4E51"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 tiekėjo savo jėgomis įvykdytų paslaugų dalis sutartyje (Eur be PVM);</w:t>
            </w:r>
          </w:p>
          <w:p w14:paraId="6BB5985F" w14:textId="17189ACA" w:rsidR="007E4E51" w:rsidRPr="007E4E51" w:rsidRDefault="007E4E51" w:rsidP="007E4E51">
            <w:pPr>
              <w:spacing w:after="0" w:line="240" w:lineRule="auto"/>
              <w:jc w:val="both"/>
              <w:rPr>
                <w:rFonts w:ascii="Times New Roman" w:hAnsi="Times New Roman"/>
                <w:sz w:val="24"/>
                <w:szCs w:val="24"/>
                <w14:ligatures w14:val="standardContextual"/>
              </w:rPr>
            </w:pPr>
            <w:r w:rsidRPr="007E4E51">
              <w:rPr>
                <w:rFonts w:ascii="Times New Roman" w:hAnsi="Times New Roman"/>
                <w:sz w:val="24"/>
                <w:szCs w:val="24"/>
                <w14:ligatures w14:val="standardContextual"/>
              </w:rPr>
              <w:t>− užsakovo (−ų) pavadinimas (−ai).</w:t>
            </w:r>
          </w:p>
          <w:p w14:paraId="14CF2FE7" w14:textId="3FD7B561" w:rsidR="007E4E51" w:rsidRPr="007E4E51" w:rsidRDefault="007E4E51" w:rsidP="007E4E51">
            <w:pPr>
              <w:spacing w:after="0" w:line="240" w:lineRule="auto"/>
              <w:jc w:val="both"/>
              <w:rPr>
                <w:rFonts w:ascii="Times New Roman" w:hAnsi="Times New Roman"/>
                <w:bCs/>
                <w:sz w:val="24"/>
                <w:szCs w:val="24"/>
                <w:lang w:eastAsia="lt-LT"/>
              </w:rPr>
            </w:pPr>
            <w:r w:rsidRPr="007E4E51">
              <w:rPr>
                <w:rFonts w:ascii="Times New Roman" w:hAnsi="Times New Roman"/>
                <w:sz w:val="24"/>
                <w:szCs w:val="24"/>
                <w14:ligatures w14:val="standardContextual"/>
              </w:rPr>
              <w:t xml:space="preserve">2) </w:t>
            </w:r>
            <w:r w:rsidR="0042574B">
              <w:rPr>
                <w:rFonts w:ascii="Times New Roman" w:hAnsi="Times New Roman"/>
                <w:sz w:val="24"/>
                <w:szCs w:val="24"/>
                <w14:ligatures w14:val="standardContextual"/>
              </w:rPr>
              <w:t>U</w:t>
            </w:r>
            <w:r w:rsidRPr="007E4E51">
              <w:rPr>
                <w:rFonts w:ascii="Times New Roman" w:hAnsi="Times New Roman"/>
                <w:sz w:val="24"/>
                <w:szCs w:val="24"/>
                <w14:ligatures w14:val="standardContextual"/>
              </w:rPr>
              <w:t>žsakovo (−ų), kuriam (−</w:t>
            </w:r>
            <w:proofErr w:type="spellStart"/>
            <w:r w:rsidRPr="007E4E51">
              <w:rPr>
                <w:rFonts w:ascii="Times New Roman" w:hAnsi="Times New Roman"/>
                <w:sz w:val="24"/>
                <w:szCs w:val="24"/>
                <w14:ligatures w14:val="standardContextual"/>
              </w:rPr>
              <w:t>iems</w:t>
            </w:r>
            <w:proofErr w:type="spellEnd"/>
            <w:r w:rsidRPr="007E4E51">
              <w:rPr>
                <w:rFonts w:ascii="Times New Roman" w:hAnsi="Times New Roman"/>
                <w:sz w:val="24"/>
                <w:szCs w:val="24"/>
                <w14:ligatures w14:val="standardContextual"/>
              </w:rPr>
              <w:t>) buvo atlikta paslauga pagal įvykdytų paslaugų sąraše nurodytą (−</w:t>
            </w:r>
            <w:proofErr w:type="spellStart"/>
            <w:r w:rsidRPr="007E4E51">
              <w:rPr>
                <w:rFonts w:ascii="Times New Roman" w:hAnsi="Times New Roman"/>
                <w:sz w:val="24"/>
                <w:szCs w:val="24"/>
                <w14:ligatures w14:val="standardContextual"/>
              </w:rPr>
              <w:t>as</w:t>
            </w:r>
            <w:proofErr w:type="spellEnd"/>
            <w:r w:rsidRPr="007E4E51">
              <w:rPr>
                <w:rFonts w:ascii="Times New Roman" w:hAnsi="Times New Roman"/>
                <w:sz w:val="24"/>
                <w:szCs w:val="24"/>
                <w14:ligatures w14:val="standardContextual"/>
              </w:rPr>
              <w:t>) sutartį (−</w:t>
            </w:r>
            <w:proofErr w:type="spellStart"/>
            <w:r w:rsidRPr="007E4E51">
              <w:rPr>
                <w:rFonts w:ascii="Times New Roman" w:hAnsi="Times New Roman"/>
                <w:sz w:val="24"/>
                <w:szCs w:val="24"/>
                <w14:ligatures w14:val="standardContextual"/>
              </w:rPr>
              <w:t>is</w:t>
            </w:r>
            <w:proofErr w:type="spellEnd"/>
            <w:r w:rsidRPr="007E4E51">
              <w:rPr>
                <w:rFonts w:ascii="Times New Roman" w:hAnsi="Times New Roman"/>
                <w:sz w:val="24"/>
                <w:szCs w:val="24"/>
                <w14:ligatures w14:val="standardContextual"/>
              </w:rPr>
              <w:t>), patvirtinta (−</w:t>
            </w:r>
            <w:proofErr w:type="spellStart"/>
            <w:r w:rsidRPr="007E4E51">
              <w:rPr>
                <w:rFonts w:ascii="Times New Roman" w:hAnsi="Times New Roman"/>
                <w:sz w:val="24"/>
                <w:szCs w:val="24"/>
                <w14:ligatures w14:val="standardContextual"/>
              </w:rPr>
              <w:t>os</w:t>
            </w:r>
            <w:proofErr w:type="spellEnd"/>
            <w:r w:rsidRPr="007E4E51">
              <w:rPr>
                <w:rFonts w:ascii="Times New Roman" w:hAnsi="Times New Roman"/>
                <w:sz w:val="24"/>
                <w:szCs w:val="24"/>
                <w14:ligatures w14:val="standardContextual"/>
              </w:rPr>
              <w:t>) pažyma (−</w:t>
            </w:r>
            <w:proofErr w:type="spellStart"/>
            <w:r w:rsidRPr="007E4E51">
              <w:rPr>
                <w:rFonts w:ascii="Times New Roman" w:hAnsi="Times New Roman"/>
                <w:sz w:val="24"/>
                <w:szCs w:val="24"/>
                <w14:ligatures w14:val="standardContextual"/>
              </w:rPr>
              <w:t>os</w:t>
            </w:r>
            <w:proofErr w:type="spellEnd"/>
            <w:r w:rsidRPr="007E4E51">
              <w:rPr>
                <w:rFonts w:ascii="Times New Roman" w:hAnsi="Times New Roman"/>
                <w:sz w:val="24"/>
                <w:szCs w:val="24"/>
                <w14:ligatures w14:val="standardContextual"/>
              </w:rPr>
              <w:t>), apie tai, kad paslaugos buvo vykdomos ir atliktos tinkamai, pagal tokių paslaugų atlikimą reglamentuojančių teisės aktų bei pirkimo sutarties reikalavimus.</w:t>
            </w:r>
          </w:p>
        </w:tc>
      </w:tr>
    </w:tbl>
    <w:p w14:paraId="5F7D5F2E" w14:textId="77777777" w:rsidR="00F304F3" w:rsidRDefault="00F304F3" w:rsidP="00F304F3">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67B94F7C" w14:textId="77777777" w:rsidR="00F304F3" w:rsidRPr="00C35B72" w:rsidRDefault="00F304F3" w:rsidP="00F304F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B2B37D7" w14:textId="77777777" w:rsidR="00F304F3" w:rsidRPr="00C35B72" w:rsidRDefault="00F304F3" w:rsidP="00F304F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535F5034" w14:textId="76AF4C0C"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F304F3">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6F21DE4C"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F304F3">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4F270FF"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F304F3">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2E76511" w:rsidR="001A2CCF"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sidR="00F304F3">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3447AF0A" w14:textId="27646ACB" w:rsidR="00817618" w:rsidRPr="00693454" w:rsidRDefault="00817618" w:rsidP="00817618">
      <w:pPr>
        <w:spacing w:after="0" w:line="20" w:lineRule="atLeast"/>
        <w:ind w:firstLine="567"/>
        <w:contextualSpacing/>
        <w:jc w:val="both"/>
        <w:rPr>
          <w:rFonts w:ascii="Times New Roman" w:hAnsi="Times New Roman"/>
          <w:sz w:val="24"/>
          <w:szCs w:val="24"/>
          <w:lang w:eastAsia="lt-LT"/>
        </w:rPr>
      </w:pPr>
      <w:r>
        <w:rPr>
          <w:rFonts w:ascii="Times New Roman" w:hAnsi="Times New Roman"/>
          <w:sz w:val="24"/>
          <w:szCs w:val="24"/>
          <w:lang w:eastAsia="lt-LT"/>
        </w:rPr>
        <w:t>3.</w:t>
      </w:r>
      <w:r w:rsidR="00F304F3">
        <w:rPr>
          <w:rFonts w:ascii="Times New Roman" w:hAnsi="Times New Roman"/>
          <w:sz w:val="24"/>
          <w:szCs w:val="24"/>
          <w:lang w:eastAsia="lt-LT"/>
        </w:rPr>
        <w:t>7</w:t>
      </w:r>
      <w:r>
        <w:rPr>
          <w:rFonts w:ascii="Times New Roman" w:hAnsi="Times New Roman"/>
          <w:sz w:val="24"/>
          <w:szCs w:val="24"/>
          <w:lang w:eastAsia="lt-LT"/>
        </w:rPr>
        <w:t xml:space="preserve">. </w:t>
      </w:r>
      <w:r w:rsidRPr="006B0EAE">
        <w:rPr>
          <w:rFonts w:ascii="Times New Roman" w:hAnsi="Times New Roman"/>
          <w:b/>
          <w:bCs/>
          <w:sz w:val="24"/>
          <w:szCs w:val="24"/>
          <w:lang w:eastAsia="lt-LT"/>
        </w:rPr>
        <w:t>Reikalavimai, susiję su nacionaliniu saugumu</w:t>
      </w:r>
      <w:r>
        <w:rPr>
          <w:rFonts w:ascii="Times New Roman" w:hAnsi="Times New Roman"/>
          <w:b/>
          <w:bCs/>
          <w:sz w:val="24"/>
          <w:szCs w:val="24"/>
          <w:lang w:eastAsia="lt-LT"/>
        </w:rPr>
        <w:t>.</w:t>
      </w:r>
      <w:r w:rsidRPr="006B0EAE">
        <w:rPr>
          <w:rFonts w:ascii="Times New Roman" w:hAnsi="Times New Roman"/>
          <w:b/>
          <w:bCs/>
          <w:sz w:val="28"/>
          <w:szCs w:val="28"/>
          <w:lang w:eastAsia="lt-LT"/>
        </w:rPr>
        <w:t xml:space="preserve"> </w:t>
      </w:r>
      <w:r w:rsidRPr="00693454">
        <w:rPr>
          <w:rFonts w:ascii="Times New Roman" w:hAnsi="Times New Roman"/>
          <w:sz w:val="24"/>
          <w:szCs w:val="24"/>
          <w:lang w:eastAsia="lt-LT"/>
        </w:rPr>
        <w:t xml:space="preserve">Perkančioji organizacija laiko, kad </w:t>
      </w:r>
      <w:r w:rsidRPr="00693454">
        <w:rPr>
          <w:rFonts w:ascii="Times New Roman" w:hAnsi="Times New Roman"/>
          <w:color w:val="000000"/>
          <w:sz w:val="24"/>
          <w:szCs w:val="24"/>
          <w:shd w:val="clear" w:color="auto" w:fill="FFFFFF"/>
          <w:lang w:eastAsia="lt-LT"/>
        </w:rPr>
        <w:t>pirkimo objektas kelia grėsmę nacionaliniam saugumui</w:t>
      </w:r>
      <w:r w:rsidRPr="00693454">
        <w:rPr>
          <w:rFonts w:ascii="Times New Roman" w:hAnsi="Times New Roman"/>
          <w:sz w:val="24"/>
          <w:szCs w:val="24"/>
          <w:lang w:eastAsia="lt-LT"/>
        </w:rPr>
        <w:t>,</w:t>
      </w:r>
      <w:r>
        <w:rPr>
          <w:rFonts w:ascii="Times New Roman" w:hAnsi="Times New Roman"/>
          <w:sz w:val="24"/>
          <w:szCs w:val="24"/>
          <w:lang w:eastAsia="lt-LT"/>
        </w:rPr>
        <w:t xml:space="preserve"> </w:t>
      </w:r>
      <w:r w:rsidRPr="00693454">
        <w:rPr>
          <w:rFonts w:ascii="Times New Roman" w:hAnsi="Times New Roman"/>
          <w:sz w:val="24"/>
          <w:szCs w:val="24"/>
          <w:lang w:eastAsia="lt-LT"/>
        </w:rPr>
        <w:t>jei jis atitinka VPĮ 37 straipsnio 9 dalies</w:t>
      </w:r>
      <w:r w:rsidRPr="00693454">
        <w:rPr>
          <w:rFonts w:ascii="Times New Roman" w:hAnsi="Times New Roman"/>
          <w:color w:val="EE0000"/>
          <w:sz w:val="24"/>
          <w:szCs w:val="24"/>
          <w:lang w:eastAsia="lt-LT"/>
        </w:rPr>
        <w:t xml:space="preserve"> </w:t>
      </w:r>
      <w:r w:rsidRPr="00693454">
        <w:rPr>
          <w:rFonts w:ascii="Times New Roman" w:hAnsi="Times New Roman"/>
          <w:sz w:val="24"/>
          <w:szCs w:val="24"/>
          <w:lang w:eastAsia="lt-LT"/>
        </w:rPr>
        <w:t xml:space="preserve">2 punkte numatytas sąlygas. </w:t>
      </w:r>
      <w:r w:rsidRPr="00693454">
        <w:rPr>
          <w:rFonts w:ascii="Times New Roman" w:eastAsia="Times New Roman" w:hAnsi="Times New Roman"/>
          <w:color w:val="000000"/>
          <w:sz w:val="24"/>
          <w:szCs w:val="24"/>
        </w:rPr>
        <w:t>Tiekėjai kartu su pasiūlymu turi pateikti Viešųjų pirkimų tarnybos nustatytos formos atitikties deklaraciją (</w:t>
      </w:r>
      <w:r w:rsidRPr="00817618">
        <w:rPr>
          <w:rFonts w:ascii="Times New Roman" w:hAnsi="Times New Roman"/>
          <w:b/>
          <w:bCs/>
          <w:i/>
          <w:sz w:val="24"/>
          <w:szCs w:val="24"/>
          <w:lang w:eastAsia="lt-LT"/>
        </w:rPr>
        <w:t xml:space="preserve">pirkimo sąlygų </w:t>
      </w:r>
      <w:r w:rsidR="007E4E51">
        <w:rPr>
          <w:rFonts w:ascii="Times New Roman" w:hAnsi="Times New Roman"/>
          <w:b/>
          <w:bCs/>
          <w:i/>
          <w:sz w:val="24"/>
          <w:szCs w:val="24"/>
          <w:lang w:eastAsia="lt-LT"/>
        </w:rPr>
        <w:t>5</w:t>
      </w:r>
      <w:r w:rsidRPr="00817618">
        <w:rPr>
          <w:rFonts w:ascii="Times New Roman" w:hAnsi="Times New Roman"/>
          <w:b/>
          <w:bCs/>
          <w:i/>
          <w:sz w:val="24"/>
          <w:szCs w:val="24"/>
          <w:lang w:eastAsia="lt-LT"/>
        </w:rPr>
        <w:t xml:space="preserve"> priedas</w:t>
      </w:r>
      <w:r w:rsidRPr="00693454">
        <w:rPr>
          <w:rFonts w:ascii="Times New Roman" w:hAnsi="Times New Roman"/>
          <w:i/>
          <w:sz w:val="24"/>
          <w:szCs w:val="24"/>
          <w:lang w:eastAsia="lt-LT"/>
        </w:rPr>
        <w:t>).</w:t>
      </w:r>
      <w:r w:rsidRPr="00693454">
        <w:rPr>
          <w:rFonts w:ascii="Times New Roman" w:eastAsia="Times New Roman" w:hAnsi="Times New Roman"/>
          <w:color w:val="000000"/>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D12D180" w14:textId="77777777" w:rsidR="00817618" w:rsidRPr="00693454" w:rsidRDefault="00817618" w:rsidP="006862D2">
      <w:pPr>
        <w:spacing w:after="0" w:line="240" w:lineRule="auto"/>
        <w:ind w:firstLine="567"/>
        <w:jc w:val="both"/>
        <w:rPr>
          <w:rFonts w:ascii="Times New Roman" w:hAnsi="Times New Roman"/>
          <w:i/>
          <w:iCs/>
          <w:color w:val="7030A0"/>
          <w:sz w:val="24"/>
          <w:szCs w:val="24"/>
          <w:lang w:eastAsia="lt-LT"/>
        </w:rPr>
      </w:pPr>
      <w:r w:rsidRPr="00693454">
        <w:rPr>
          <w:rFonts w:ascii="Times New Roman" w:hAnsi="Times New Roman"/>
          <w:i/>
          <w:iCs/>
          <w:sz w:val="24"/>
          <w:szCs w:val="24"/>
          <w:lang w:eastAsia="lt-LT"/>
        </w:rPr>
        <w:t xml:space="preserve">Jeigu paslaugų teikėjas </w:t>
      </w:r>
      <w:r w:rsidRPr="00693454">
        <w:rPr>
          <w:rFonts w:ascii="Times New Roman" w:hAnsi="Times New Roman"/>
          <w:i/>
          <w:iCs/>
          <w:color w:val="000000"/>
          <w:sz w:val="24"/>
          <w:szCs w:val="24"/>
          <w:lang w:eastAsia="lt-LT"/>
        </w:rPr>
        <w:t xml:space="preserve">ar jį kontroliuojantis asmuo yra nacionaliniam </w:t>
      </w:r>
      <w:r w:rsidRPr="00693454">
        <w:rPr>
          <w:rFonts w:ascii="Times New Roman" w:hAnsi="Times New Roman"/>
          <w:i/>
          <w:iCs/>
          <w:sz w:val="24"/>
          <w:szCs w:val="24"/>
          <w:lang w:eastAsia="lt-LT"/>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93454">
        <w:rPr>
          <w:rFonts w:ascii="Times New Roman" w:hAnsi="Times New Roman"/>
          <w:i/>
          <w:iCs/>
          <w:color w:val="7030A0"/>
          <w:sz w:val="24"/>
          <w:szCs w:val="24"/>
          <w:lang w:eastAsia="lt-LT"/>
        </w:rPr>
        <w:t>.</w:t>
      </w:r>
    </w:p>
    <w:p w14:paraId="15FBDE30" w14:textId="1D9BEBA8" w:rsidR="00817618" w:rsidRPr="00693454" w:rsidRDefault="00817618" w:rsidP="00817618">
      <w:pPr>
        <w:spacing w:after="0" w:line="240" w:lineRule="auto"/>
        <w:ind w:firstLine="720"/>
        <w:jc w:val="both"/>
        <w:rPr>
          <w:rFonts w:ascii="Times New Roman" w:hAnsi="Times New Roman"/>
          <w:b/>
          <w:i/>
          <w:iCs/>
          <w:sz w:val="24"/>
          <w:szCs w:val="24"/>
          <w:lang w:eastAsia="lt-LT"/>
        </w:rPr>
      </w:pPr>
      <w:r w:rsidRPr="00693454">
        <w:rPr>
          <w:rFonts w:ascii="Times New Roman" w:hAnsi="Times New Roman"/>
          <w:i/>
          <w:iCs/>
          <w:sz w:val="24"/>
          <w:szCs w:val="24"/>
          <w:lang w:eastAsia="lt-LT"/>
        </w:rPr>
        <w:t>Perkančioji organizacija, tikrindama pasiūlymo atitiktį šio įstatymo 37 straipsnio 9 dalies reikalavimams, iš tiekėjo reikalauja</w:t>
      </w:r>
      <w:r w:rsidRPr="00693454">
        <w:rPr>
          <w:rFonts w:ascii="Times New Roman" w:hAnsi="Times New Roman"/>
          <w:bCs/>
          <w:i/>
          <w:iCs/>
          <w:sz w:val="24"/>
          <w:szCs w:val="24"/>
          <w:lang w:eastAsia="lt-LT"/>
        </w:rPr>
        <w:t xml:space="preserve"> </w:t>
      </w:r>
      <w:r w:rsidRPr="00693454">
        <w:rPr>
          <w:rFonts w:ascii="Times New Roman" w:hAnsi="Times New Roman"/>
          <w:b/>
          <w:i/>
          <w:iCs/>
          <w:sz w:val="24"/>
          <w:szCs w:val="24"/>
          <w:lang w:eastAsia="lt-LT"/>
        </w:rPr>
        <w:t>pateikti Viešųjų pirkimų tarnybos nustatytos formos atitikties deklaraciją, o iš ekonomiškai naudingiausią pasiūlymą pateikusio tiekėjo – vieną ar kelis šiuos dokumentus: juridinio asmens vadovo patvirtintą juridinio asmens steigimo dokumentų kopiją</w:t>
      </w:r>
      <w:r>
        <w:rPr>
          <w:rFonts w:ascii="Times New Roman" w:hAnsi="Times New Roman"/>
          <w:b/>
          <w:i/>
          <w:iCs/>
          <w:sz w:val="24"/>
          <w:szCs w:val="24"/>
          <w:lang w:eastAsia="lt-LT"/>
        </w:rPr>
        <w:t xml:space="preserve"> arba </w:t>
      </w:r>
      <w:r w:rsidRPr="00693454">
        <w:rPr>
          <w:rFonts w:ascii="Times New Roman" w:hAnsi="Times New Roman"/>
          <w:b/>
          <w:i/>
          <w:iCs/>
          <w:sz w:val="24"/>
          <w:szCs w:val="24"/>
          <w:lang w:eastAsia="lt-LT"/>
        </w:rPr>
        <w:t xml:space="preserve"> Juridinių asmenų registro išplėstinį išrašą su istorija, Juridinių asmenų dalyvių informacinės sistemos išrašą</w:t>
      </w:r>
      <w:r>
        <w:rPr>
          <w:rFonts w:ascii="Times New Roman" w:hAnsi="Times New Roman"/>
          <w:b/>
          <w:i/>
          <w:iCs/>
          <w:sz w:val="24"/>
          <w:szCs w:val="24"/>
          <w:lang w:eastAsia="lt-LT"/>
        </w:rPr>
        <w:t xml:space="preserve"> arba </w:t>
      </w:r>
      <w:r w:rsidRPr="00693454">
        <w:rPr>
          <w:rFonts w:ascii="Times New Roman" w:hAnsi="Times New Roman"/>
          <w:b/>
          <w:i/>
          <w:iCs/>
          <w:sz w:val="24"/>
          <w:szCs w:val="24"/>
          <w:lang w:eastAsia="lt-LT"/>
        </w:rPr>
        <w:t>asmens tapatybę patvirtinančio dokumento (tapatybės kortelės ar paso) kopiją</w:t>
      </w:r>
      <w:r>
        <w:rPr>
          <w:rFonts w:ascii="Times New Roman" w:hAnsi="Times New Roman"/>
          <w:b/>
          <w:i/>
          <w:iCs/>
          <w:sz w:val="24"/>
          <w:szCs w:val="24"/>
          <w:lang w:eastAsia="lt-LT"/>
        </w:rPr>
        <w:t xml:space="preserve"> arba</w:t>
      </w:r>
      <w:r w:rsidRPr="00693454">
        <w:rPr>
          <w:rFonts w:ascii="Times New Roman" w:hAnsi="Times New Roman"/>
          <w:b/>
          <w:i/>
          <w:iCs/>
          <w:sz w:val="24"/>
          <w:szCs w:val="24"/>
          <w:lang w:eastAsia="lt-LT"/>
        </w:rPr>
        <w:t xml:space="preserve"> leidimo verstis atitinkama ūkine veikla patvirtinančio dokumento (pavyzdžiui, verslo liudijimo, individualios veiklos pažymėjimo ir pan.) kopiją</w:t>
      </w:r>
      <w:r>
        <w:rPr>
          <w:rFonts w:ascii="Times New Roman" w:hAnsi="Times New Roman"/>
          <w:b/>
          <w:i/>
          <w:iCs/>
          <w:sz w:val="24"/>
          <w:szCs w:val="24"/>
          <w:lang w:eastAsia="lt-LT"/>
        </w:rPr>
        <w:t xml:space="preserve"> arba</w:t>
      </w:r>
      <w:r w:rsidRPr="00693454">
        <w:rPr>
          <w:rFonts w:ascii="Times New Roman" w:hAnsi="Times New Roman"/>
          <w:b/>
          <w:i/>
          <w:iCs/>
          <w:sz w:val="24"/>
          <w:szCs w:val="24"/>
          <w:lang w:eastAsia="lt-LT"/>
        </w:rPr>
        <w:t xml:space="preserve">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w:t>
      </w:r>
      <w:r w:rsidRPr="004564B0">
        <w:rPr>
          <w:rFonts w:ascii="Times New Roman" w:hAnsi="Times New Roman"/>
          <w:color w:val="000000"/>
          <w:sz w:val="24"/>
          <w:szCs w:val="24"/>
          <w:lang w:eastAsia="lt-LT"/>
        </w:rPr>
        <w:lastRenderedPageBreak/>
        <w:t xml:space="preserve">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0E654B21"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FD34C2">
        <w:rPr>
          <w:rFonts w:ascii="Times New Roman" w:hAnsi="Times New Roman"/>
          <w:color w:val="000000"/>
          <w:sz w:val="24"/>
          <w:szCs w:val="24"/>
          <w:lang w:eastAsia="lt-LT"/>
        </w:rPr>
        <w:t>paslaugų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FD34C2">
        <w:rPr>
          <w:rFonts w:ascii="Times New Roman" w:hAnsi="Times New Roman"/>
          <w:color w:val="000000"/>
          <w:sz w:val="24"/>
          <w:szCs w:val="24"/>
          <w:lang w:eastAsia="lt-LT"/>
        </w:rPr>
        <w:t xml:space="preserve">paslaugų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FD34C2">
        <w:rPr>
          <w:rFonts w:ascii="Times New Roman" w:eastAsia="Times New Roman" w:hAnsi="Times New Roman"/>
          <w:sz w:val="24"/>
          <w:szCs w:val="24"/>
        </w:rPr>
        <w:t>paslaugų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1D523044" w14:textId="77777777" w:rsidR="007E4E51" w:rsidRDefault="00817618" w:rsidP="00817618">
      <w:pPr>
        <w:widowControl w:val="0"/>
        <w:suppressAutoHyphens/>
        <w:spacing w:after="0" w:line="240" w:lineRule="auto"/>
        <w:ind w:firstLine="567"/>
        <w:jc w:val="both"/>
        <w:rPr>
          <w:rFonts w:ascii="Times New Roman" w:eastAsia="Times New Roman" w:hAnsi="Times New Roman"/>
          <w:b/>
          <w:sz w:val="24"/>
          <w:szCs w:val="24"/>
          <w:lang w:eastAsia="lt-LT"/>
        </w:rPr>
      </w:pPr>
      <w:r w:rsidRPr="00817618">
        <w:rPr>
          <w:rFonts w:ascii="Times New Roman" w:hAnsi="Times New Roman"/>
          <w:bCs/>
          <w:color w:val="000000"/>
          <w:sz w:val="24"/>
          <w:szCs w:val="24"/>
        </w:rPr>
        <w:t>5.12.2.</w:t>
      </w:r>
      <w:r>
        <w:rPr>
          <w:rFonts w:ascii="Times New Roman" w:hAnsi="Times New Roman"/>
          <w:b/>
          <w:color w:val="000000"/>
          <w:sz w:val="24"/>
          <w:szCs w:val="24"/>
        </w:rPr>
        <w:t xml:space="preserve"> </w:t>
      </w:r>
      <w:r w:rsidR="007E4E51" w:rsidRPr="009C35FD">
        <w:rPr>
          <w:rFonts w:ascii="Times New Roman" w:hAnsi="Times New Roman"/>
          <w:b/>
          <w:sz w:val="24"/>
          <w:szCs w:val="24"/>
        </w:rPr>
        <w:t>Tiekėjo</w:t>
      </w:r>
      <w:r w:rsidR="007E4E51" w:rsidRPr="009C35FD">
        <w:rPr>
          <w:rFonts w:ascii="Times New Roman" w:eastAsia="Times New Roman" w:hAnsi="Times New Roman"/>
          <w:b/>
          <w:sz w:val="24"/>
          <w:szCs w:val="24"/>
        </w:rPr>
        <w:t xml:space="preserve"> deklaraciją</w:t>
      </w:r>
      <w:r w:rsidR="007E4E51" w:rsidRPr="009C35FD">
        <w:rPr>
          <w:rFonts w:ascii="Times New Roman" w:eastAsia="Times New Roman" w:hAnsi="Times New Roman"/>
          <w:b/>
          <w:color w:val="000000"/>
          <w:sz w:val="24"/>
          <w:szCs w:val="24"/>
        </w:rPr>
        <w:t xml:space="preserve"> pagal </w:t>
      </w:r>
      <w:r w:rsidR="007E4E51">
        <w:rPr>
          <w:rFonts w:ascii="Times New Roman" w:eastAsia="Times New Roman" w:hAnsi="Times New Roman"/>
          <w:b/>
          <w:sz w:val="24"/>
          <w:szCs w:val="24"/>
          <w:lang w:eastAsia="lt-LT"/>
        </w:rPr>
        <w:t>4</w:t>
      </w:r>
      <w:r w:rsidR="007E4E51" w:rsidRPr="009C35FD">
        <w:rPr>
          <w:rFonts w:ascii="Times New Roman" w:eastAsia="Times New Roman" w:hAnsi="Times New Roman"/>
          <w:b/>
          <w:sz w:val="24"/>
          <w:szCs w:val="24"/>
          <w:lang w:eastAsia="lt-LT"/>
        </w:rPr>
        <w:t xml:space="preserve"> priede pateiktą formą;</w:t>
      </w:r>
    </w:p>
    <w:p w14:paraId="6F3E33A4" w14:textId="59F97EB1" w:rsidR="007E4E51" w:rsidRDefault="00F304F3" w:rsidP="007E4E51">
      <w:pPr>
        <w:widowControl w:val="0"/>
        <w:suppressAutoHyphens/>
        <w:spacing w:after="0" w:line="240" w:lineRule="auto"/>
        <w:ind w:firstLine="567"/>
        <w:jc w:val="both"/>
        <w:rPr>
          <w:rFonts w:ascii="Times New Roman" w:eastAsia="Times New Roman" w:hAnsi="Times New Roman"/>
          <w:b/>
          <w:sz w:val="24"/>
          <w:szCs w:val="24"/>
          <w:lang w:eastAsia="lt-LT"/>
        </w:rPr>
      </w:pPr>
      <w:r w:rsidRPr="00F304F3">
        <w:rPr>
          <w:rFonts w:ascii="Times New Roman" w:hAnsi="Times New Roman"/>
          <w:bCs/>
          <w:sz w:val="24"/>
          <w:szCs w:val="24"/>
        </w:rPr>
        <w:t>5.12.3.</w:t>
      </w:r>
      <w:r>
        <w:rPr>
          <w:rFonts w:ascii="Times New Roman" w:hAnsi="Times New Roman"/>
          <w:b/>
          <w:sz w:val="24"/>
          <w:szCs w:val="24"/>
        </w:rPr>
        <w:t xml:space="preserve"> </w:t>
      </w:r>
      <w:r w:rsidR="007E4E51" w:rsidRPr="00B85192">
        <w:rPr>
          <w:rFonts w:ascii="Times New Roman" w:hAnsi="Times New Roman"/>
          <w:b/>
          <w:color w:val="000000"/>
          <w:sz w:val="24"/>
          <w:szCs w:val="24"/>
        </w:rPr>
        <w:t>Nacionalinio saugumo reikalavimų atitikties deklaracij</w:t>
      </w:r>
      <w:r w:rsidR="007E4E51">
        <w:rPr>
          <w:rFonts w:ascii="Times New Roman" w:hAnsi="Times New Roman"/>
          <w:b/>
          <w:color w:val="000000"/>
          <w:sz w:val="24"/>
          <w:szCs w:val="24"/>
        </w:rPr>
        <w:t xml:space="preserve">ą </w:t>
      </w:r>
      <w:r w:rsidR="007E4E51" w:rsidRPr="009C35FD">
        <w:rPr>
          <w:rFonts w:ascii="Times New Roman" w:eastAsia="Times New Roman" w:hAnsi="Times New Roman"/>
          <w:b/>
          <w:color w:val="000000"/>
          <w:sz w:val="24"/>
          <w:szCs w:val="24"/>
        </w:rPr>
        <w:t xml:space="preserve">pagal </w:t>
      </w:r>
      <w:r w:rsidR="007E4E51">
        <w:rPr>
          <w:rFonts w:ascii="Times New Roman" w:eastAsia="Times New Roman" w:hAnsi="Times New Roman"/>
          <w:b/>
          <w:sz w:val="24"/>
          <w:szCs w:val="24"/>
          <w:lang w:eastAsia="lt-LT"/>
        </w:rPr>
        <w:t>5</w:t>
      </w:r>
      <w:r w:rsidR="007E4E51" w:rsidRPr="009C35FD">
        <w:rPr>
          <w:rFonts w:ascii="Times New Roman" w:eastAsia="Times New Roman" w:hAnsi="Times New Roman"/>
          <w:b/>
          <w:sz w:val="24"/>
          <w:szCs w:val="24"/>
          <w:lang w:eastAsia="lt-LT"/>
        </w:rPr>
        <w:t xml:space="preserve"> priede pateiktą formą;</w:t>
      </w:r>
    </w:p>
    <w:p w14:paraId="2E706334" w14:textId="3A2491F4"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304F3">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60D614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304F3">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7305FAD"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304F3">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w:t>
      </w:r>
      <w:r w:rsidRPr="004564B0">
        <w:rPr>
          <w:rFonts w:ascii="Times New Roman" w:hAnsi="Times New Roman"/>
          <w:color w:val="000000"/>
          <w:sz w:val="24"/>
          <w:szCs w:val="24"/>
          <w:lang w:eastAsia="lt-LT"/>
        </w:rPr>
        <w:lastRenderedPageBreak/>
        <w:t xml:space="preserve">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w:t>
      </w:r>
      <w:r w:rsidRPr="00D92A69">
        <w:rPr>
          <w:rFonts w:ascii="Times New Roman" w:hAnsi="Times New Roman"/>
          <w:color w:val="000000"/>
          <w:sz w:val="24"/>
          <w:szCs w:val="24"/>
          <w:lang w:eastAsia="ar-SA"/>
        </w:rPr>
        <w:lastRenderedPageBreak/>
        <w:t xml:space="preserve">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14.5. Perkančioji organizacija privalo išnagrinėti pretenziją, priimti motyvuotą sprendimą ir apie jį, taip pat apie anksčiau praneštų pirkimo procedūros terminų pasikeitimą raštu pranešti </w:t>
      </w:r>
      <w:r w:rsidRPr="004564B0">
        <w:rPr>
          <w:rFonts w:ascii="Times New Roman" w:hAnsi="Times New Roman"/>
          <w:color w:val="000000"/>
          <w:sz w:val="24"/>
          <w:szCs w:val="24"/>
          <w:lang w:eastAsia="lt-LT"/>
        </w:rPr>
        <w:lastRenderedPageBreak/>
        <w:t>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2F0409C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w:t>
      </w:r>
      <w:r w:rsidR="008D567E">
        <w:rPr>
          <w:rFonts w:ascii="Times New Roman" w:hAnsi="Times New Roman"/>
          <w:color w:val="000000"/>
          <w:sz w:val="24"/>
          <w:szCs w:val="24"/>
        </w:rPr>
        <w:t>Bendrosios sąlygos ir Specialiosios sąlygos</w:t>
      </w:r>
      <w:r w:rsidRPr="004564B0">
        <w:rPr>
          <w:rFonts w:ascii="Times New Roman" w:hAnsi="Times New Roman"/>
          <w:color w:val="000000"/>
          <w:sz w:val="24"/>
          <w:szCs w:val="24"/>
        </w:rPr>
        <w:t xml:space="preserve"> </w:t>
      </w:r>
      <w:r>
        <w:rPr>
          <w:rFonts w:ascii="Times New Roman" w:hAnsi="Times New Roman"/>
          <w:color w:val="000000" w:themeColor="text1"/>
          <w:sz w:val="24"/>
          <w:szCs w:val="24"/>
        </w:rPr>
        <w:t>pridedam</w:t>
      </w:r>
      <w:r w:rsidR="008D567E">
        <w:rPr>
          <w:rFonts w:ascii="Times New Roman" w:hAnsi="Times New Roman"/>
          <w:color w:val="000000" w:themeColor="text1"/>
          <w:sz w:val="24"/>
          <w:szCs w:val="24"/>
        </w:rPr>
        <w:t>o</w:t>
      </w:r>
      <w:r>
        <w:rPr>
          <w:rFonts w:ascii="Times New Roman" w:hAnsi="Times New Roman"/>
          <w:color w:val="000000" w:themeColor="text1"/>
          <w:sz w:val="24"/>
          <w:szCs w:val="24"/>
        </w:rPr>
        <w:t xml:space="preserve">s </w:t>
      </w:r>
      <w:r w:rsidR="004E06DC">
        <w:rPr>
          <w:rFonts w:ascii="Times New Roman" w:hAnsi="Times New Roman"/>
          <w:color w:val="000000" w:themeColor="text1"/>
          <w:sz w:val="24"/>
          <w:szCs w:val="24"/>
        </w:rPr>
        <w:t>(</w:t>
      </w:r>
      <w:r w:rsidR="00FE01C0">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817618" w:rsidRDefault="0080382D" w:rsidP="0080382D">
      <w:pPr>
        <w:suppressAutoHyphens/>
        <w:spacing w:after="40" w:line="240" w:lineRule="auto"/>
        <w:ind w:firstLine="567"/>
        <w:jc w:val="both"/>
        <w:rPr>
          <w:rFonts w:ascii="Times New Roman" w:hAnsi="Times New Roman"/>
          <w:color w:val="000000"/>
          <w:sz w:val="24"/>
          <w:szCs w:val="24"/>
          <w:lang w:eastAsia="lt-LT"/>
        </w:rPr>
      </w:pPr>
      <w:r w:rsidRPr="00817618">
        <w:rPr>
          <w:rFonts w:ascii="Times New Roman" w:hAnsi="Times New Roman"/>
          <w:color w:val="000000"/>
          <w:sz w:val="24"/>
          <w:szCs w:val="24"/>
          <w:lang w:eastAsia="lt-LT"/>
        </w:rPr>
        <w:t>16.1.  1 priedas „Pasiūlymo forma“.</w:t>
      </w:r>
    </w:p>
    <w:p w14:paraId="59EB9287" w14:textId="097AC0CB" w:rsidR="00A11D8D" w:rsidRPr="00817618" w:rsidRDefault="0080382D" w:rsidP="00A11D8D">
      <w:pPr>
        <w:suppressAutoHyphens/>
        <w:spacing w:after="40" w:line="240" w:lineRule="auto"/>
        <w:ind w:firstLine="567"/>
        <w:jc w:val="both"/>
        <w:rPr>
          <w:rFonts w:ascii="Times New Roman" w:hAnsi="Times New Roman"/>
          <w:color w:val="000000"/>
          <w:sz w:val="24"/>
          <w:szCs w:val="24"/>
        </w:rPr>
      </w:pPr>
      <w:r w:rsidRPr="00817618">
        <w:rPr>
          <w:rFonts w:ascii="Times New Roman" w:hAnsi="Times New Roman"/>
          <w:color w:val="000000"/>
          <w:sz w:val="24"/>
          <w:szCs w:val="24"/>
          <w:lang w:eastAsia="lt-LT"/>
        </w:rPr>
        <w:t>16.2.  2 priedas</w:t>
      </w:r>
      <w:r w:rsidR="00381DD1" w:rsidRPr="00817618">
        <w:rPr>
          <w:rFonts w:ascii="Times New Roman" w:hAnsi="Times New Roman"/>
          <w:color w:val="000000"/>
          <w:sz w:val="24"/>
          <w:szCs w:val="24"/>
        </w:rPr>
        <w:t xml:space="preserve"> </w:t>
      </w:r>
      <w:r w:rsidR="004E06DC" w:rsidRPr="00817618">
        <w:rPr>
          <w:rFonts w:ascii="Times New Roman" w:hAnsi="Times New Roman"/>
          <w:color w:val="000000"/>
          <w:sz w:val="24"/>
          <w:szCs w:val="24"/>
        </w:rPr>
        <w:t>„</w:t>
      </w:r>
      <w:r w:rsidR="00FE01C0" w:rsidRPr="00817618">
        <w:rPr>
          <w:rFonts w:ascii="Times New Roman" w:hAnsi="Times New Roman"/>
          <w:color w:val="000000"/>
          <w:sz w:val="24"/>
          <w:szCs w:val="24"/>
        </w:rPr>
        <w:t>Techninė specifikacija</w:t>
      </w:r>
      <w:r w:rsidR="004E06DC" w:rsidRPr="00817618">
        <w:rPr>
          <w:rFonts w:ascii="Times New Roman" w:hAnsi="Times New Roman"/>
          <w:color w:val="000000"/>
          <w:sz w:val="24"/>
          <w:szCs w:val="24"/>
        </w:rPr>
        <w:t>“.</w:t>
      </w:r>
    </w:p>
    <w:p w14:paraId="36F11E72" w14:textId="4E2791F7" w:rsidR="00FE01C0" w:rsidRDefault="00FE01C0" w:rsidP="00A11D8D">
      <w:pPr>
        <w:suppressAutoHyphens/>
        <w:spacing w:after="40" w:line="240" w:lineRule="auto"/>
        <w:ind w:firstLine="567"/>
        <w:jc w:val="both"/>
        <w:rPr>
          <w:rFonts w:ascii="Times New Roman" w:hAnsi="Times New Roman"/>
          <w:color w:val="000000"/>
          <w:sz w:val="24"/>
          <w:szCs w:val="24"/>
        </w:rPr>
      </w:pPr>
      <w:r w:rsidRPr="00817618">
        <w:rPr>
          <w:rFonts w:ascii="Times New Roman" w:hAnsi="Times New Roman"/>
          <w:color w:val="000000"/>
          <w:sz w:val="24"/>
          <w:szCs w:val="24"/>
        </w:rPr>
        <w:t xml:space="preserve">16.3.  3 priedas „Sutarties </w:t>
      </w:r>
      <w:r w:rsidR="009B1F8B" w:rsidRPr="00817618">
        <w:rPr>
          <w:rFonts w:ascii="Times New Roman" w:hAnsi="Times New Roman"/>
          <w:color w:val="000000"/>
          <w:sz w:val="24"/>
          <w:szCs w:val="24"/>
        </w:rPr>
        <w:t>Bendrosios sąlygos“ ir „Sutarties Specialiosios sąlygos“.</w:t>
      </w:r>
    </w:p>
    <w:p w14:paraId="7E63DD11" w14:textId="77777777" w:rsidR="007E4E51" w:rsidRDefault="007E4E51" w:rsidP="007E4E51">
      <w:pPr>
        <w:suppressAutoHyphens/>
        <w:spacing w:after="40" w:line="240" w:lineRule="auto"/>
        <w:ind w:firstLine="567"/>
        <w:jc w:val="both"/>
        <w:rPr>
          <w:rFonts w:ascii="Times New Roman" w:hAnsi="Times New Roman"/>
          <w:color w:val="000000"/>
          <w:sz w:val="24"/>
          <w:szCs w:val="24"/>
        </w:rPr>
      </w:pPr>
      <w:r w:rsidRPr="00817618">
        <w:rPr>
          <w:rFonts w:ascii="Times New Roman" w:hAnsi="Times New Roman"/>
          <w:color w:val="000000"/>
          <w:sz w:val="24"/>
          <w:szCs w:val="24"/>
        </w:rPr>
        <w:t>16.4.  4 priedas</w:t>
      </w:r>
      <w:r>
        <w:rPr>
          <w:rFonts w:ascii="Times New Roman" w:hAnsi="Times New Roman"/>
          <w:color w:val="000000"/>
          <w:sz w:val="24"/>
          <w:szCs w:val="24"/>
        </w:rPr>
        <w:t xml:space="preserve"> „Tiekėjo deklaracija“.</w:t>
      </w:r>
    </w:p>
    <w:p w14:paraId="52D706F9" w14:textId="376DBDB8" w:rsidR="00817618" w:rsidRPr="007E4E51" w:rsidRDefault="007E4E51" w:rsidP="007E4E51">
      <w:pPr>
        <w:suppressAutoHyphens/>
        <w:spacing w:after="40" w:line="240" w:lineRule="auto"/>
        <w:ind w:firstLine="567"/>
        <w:jc w:val="both"/>
        <w:rPr>
          <w:rFonts w:ascii="Times New Roman" w:hAnsi="Times New Roman"/>
          <w:color w:val="000000"/>
          <w:sz w:val="24"/>
          <w:szCs w:val="24"/>
        </w:rPr>
      </w:pPr>
      <w:r>
        <w:rPr>
          <w:rFonts w:ascii="Times New Roman" w:eastAsia="Times New Roman" w:hAnsi="Times New Roman"/>
          <w:sz w:val="24"/>
          <w:szCs w:val="24"/>
          <w14:ligatures w14:val="standardContextual"/>
        </w:rPr>
        <w:t xml:space="preserve">16.5.  5 </w:t>
      </w:r>
      <w:r>
        <w:rPr>
          <w:rFonts w:ascii="Times New Roman" w:hAnsi="Times New Roman"/>
          <w:color w:val="000000"/>
          <w:sz w:val="24"/>
          <w:szCs w:val="24"/>
        </w:rPr>
        <w:t xml:space="preserve">priedas </w:t>
      </w:r>
      <w:r w:rsidR="00817618" w:rsidRPr="00817618">
        <w:rPr>
          <w:rFonts w:ascii="Times New Roman" w:hAnsi="Times New Roman"/>
          <w:color w:val="000000"/>
          <w:sz w:val="24"/>
          <w:szCs w:val="24"/>
        </w:rPr>
        <w:t>„</w:t>
      </w:r>
      <w:r w:rsidR="00817618" w:rsidRPr="00817618">
        <w:rPr>
          <w:rFonts w:ascii="Times New Roman" w:eastAsia="Times New Roman" w:hAnsi="Times New Roman"/>
          <w:sz w:val="24"/>
          <w:szCs w:val="24"/>
          <w14:ligatures w14:val="standardContextual"/>
        </w:rPr>
        <w:t>Nacionalinio saugumo reikalavimų atitikties deklaracija“.</w:t>
      </w:r>
    </w:p>
    <w:p w14:paraId="1CDFFD09" w14:textId="08140A73" w:rsidR="00F304F3" w:rsidRPr="00817618" w:rsidRDefault="00F304F3" w:rsidP="00817618">
      <w:pPr>
        <w:shd w:val="clear" w:color="auto" w:fill="FFFFFF"/>
        <w:suppressAutoHyphens/>
        <w:spacing w:after="0" w:line="240" w:lineRule="auto"/>
        <w:ind w:firstLine="567"/>
        <w:rPr>
          <w:rFonts w:ascii="Times New Roman" w:eastAsia="Times New Roman" w:hAnsi="Times New Roman"/>
          <w:sz w:val="24"/>
          <w:szCs w:val="24"/>
          <w14:ligatures w14:val="standardContextual"/>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6935" w14:textId="77777777" w:rsidR="00672897" w:rsidRDefault="00672897" w:rsidP="00083AA5">
      <w:pPr>
        <w:spacing w:after="0" w:line="240" w:lineRule="auto"/>
      </w:pPr>
      <w:r>
        <w:separator/>
      </w:r>
    </w:p>
  </w:endnote>
  <w:endnote w:type="continuationSeparator" w:id="0">
    <w:p w14:paraId="7F327C97" w14:textId="77777777" w:rsidR="00672897" w:rsidRDefault="0067289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913E" w14:textId="77777777" w:rsidR="00672897" w:rsidRDefault="00672897" w:rsidP="00083AA5">
      <w:pPr>
        <w:spacing w:after="0" w:line="240" w:lineRule="auto"/>
      </w:pPr>
      <w:r>
        <w:separator/>
      </w:r>
    </w:p>
  </w:footnote>
  <w:footnote w:type="continuationSeparator" w:id="0">
    <w:p w14:paraId="5A21D6FE" w14:textId="77777777" w:rsidR="00672897" w:rsidRDefault="00672897"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73788E"/>
    <w:multiLevelType w:val="hybridMultilevel"/>
    <w:tmpl w:val="3F32F22C"/>
    <w:lvl w:ilvl="0" w:tplc="025A84B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29067861"/>
    <w:multiLevelType w:val="hybridMultilevel"/>
    <w:tmpl w:val="B7A83164"/>
    <w:lvl w:ilvl="0" w:tplc="1AF69ED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6"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9"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4"/>
  </w:num>
  <w:num w:numId="12" w16cid:durableId="1069812131">
    <w:abstractNumId w:val="17"/>
  </w:num>
  <w:num w:numId="13" w16cid:durableId="50034879">
    <w:abstractNumId w:val="10"/>
  </w:num>
  <w:num w:numId="14" w16cid:durableId="2114130619">
    <w:abstractNumId w:val="16"/>
  </w:num>
  <w:num w:numId="15" w16cid:durableId="267390087">
    <w:abstractNumId w:val="15"/>
  </w:num>
  <w:num w:numId="16" w16cid:durableId="1738816522">
    <w:abstractNumId w:val="18"/>
  </w:num>
  <w:num w:numId="17" w16cid:durableId="273438379">
    <w:abstractNumId w:val="12"/>
  </w:num>
  <w:num w:numId="18" w16cid:durableId="1287279363">
    <w:abstractNumId w:val="19"/>
  </w:num>
  <w:num w:numId="19" w16cid:durableId="642346382">
    <w:abstractNumId w:val="11"/>
  </w:num>
  <w:num w:numId="20" w16cid:durableId="770707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4534"/>
    <w:rsid w:val="002E57AA"/>
    <w:rsid w:val="002E7635"/>
    <w:rsid w:val="002F09BF"/>
    <w:rsid w:val="002F193F"/>
    <w:rsid w:val="002F50F7"/>
    <w:rsid w:val="002F563E"/>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2574B"/>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4F1A88"/>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897"/>
    <w:rsid w:val="00672D86"/>
    <w:rsid w:val="00674106"/>
    <w:rsid w:val="0067459C"/>
    <w:rsid w:val="0068108C"/>
    <w:rsid w:val="006843AC"/>
    <w:rsid w:val="006862D2"/>
    <w:rsid w:val="00691AF4"/>
    <w:rsid w:val="0069555D"/>
    <w:rsid w:val="00696DE6"/>
    <w:rsid w:val="006A0872"/>
    <w:rsid w:val="006A217A"/>
    <w:rsid w:val="006A22BE"/>
    <w:rsid w:val="006B6040"/>
    <w:rsid w:val="006B76BE"/>
    <w:rsid w:val="006C41F6"/>
    <w:rsid w:val="006C6E2F"/>
    <w:rsid w:val="006D3749"/>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4E51"/>
    <w:rsid w:val="007E50DF"/>
    <w:rsid w:val="007F15D7"/>
    <w:rsid w:val="007F6F68"/>
    <w:rsid w:val="007F7FD9"/>
    <w:rsid w:val="0080382D"/>
    <w:rsid w:val="008071A3"/>
    <w:rsid w:val="0081570E"/>
    <w:rsid w:val="00816A0C"/>
    <w:rsid w:val="00817618"/>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D567E"/>
    <w:rsid w:val="008E235C"/>
    <w:rsid w:val="008E3998"/>
    <w:rsid w:val="008F32A6"/>
    <w:rsid w:val="008F4AE7"/>
    <w:rsid w:val="00900DD9"/>
    <w:rsid w:val="009055FF"/>
    <w:rsid w:val="009063E3"/>
    <w:rsid w:val="0090735A"/>
    <w:rsid w:val="009077D8"/>
    <w:rsid w:val="00911637"/>
    <w:rsid w:val="009235A6"/>
    <w:rsid w:val="0092429B"/>
    <w:rsid w:val="00927657"/>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1F8B"/>
    <w:rsid w:val="009B55B5"/>
    <w:rsid w:val="009B689C"/>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80EA8"/>
    <w:rsid w:val="00B964EA"/>
    <w:rsid w:val="00BA7394"/>
    <w:rsid w:val="00BB09BE"/>
    <w:rsid w:val="00BB192A"/>
    <w:rsid w:val="00BB1A38"/>
    <w:rsid w:val="00BB6A0B"/>
    <w:rsid w:val="00BE062E"/>
    <w:rsid w:val="00BE0DE2"/>
    <w:rsid w:val="00BE562A"/>
    <w:rsid w:val="00BE6231"/>
    <w:rsid w:val="00BE7806"/>
    <w:rsid w:val="00BF55A2"/>
    <w:rsid w:val="00BF5981"/>
    <w:rsid w:val="00C00FD8"/>
    <w:rsid w:val="00C31C94"/>
    <w:rsid w:val="00C32103"/>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304F3"/>
    <w:rsid w:val="00F4152B"/>
    <w:rsid w:val="00F61282"/>
    <w:rsid w:val="00F668B0"/>
    <w:rsid w:val="00F67E34"/>
    <w:rsid w:val="00F822A6"/>
    <w:rsid w:val="00F83072"/>
    <w:rsid w:val="00F876D3"/>
    <w:rsid w:val="00F90442"/>
    <w:rsid w:val="00F9102D"/>
    <w:rsid w:val="00F92843"/>
    <w:rsid w:val="00FA2752"/>
    <w:rsid w:val="00FB2851"/>
    <w:rsid w:val="00FB297A"/>
    <w:rsid w:val="00FB7116"/>
    <w:rsid w:val="00FB7F1D"/>
    <w:rsid w:val="00FD1472"/>
    <w:rsid w:val="00FD34C2"/>
    <w:rsid w:val="00FD369C"/>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19794</Words>
  <Characters>11284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39</cp:revision>
  <cp:lastPrinted>2026-04-08T13:24:00Z</cp:lastPrinted>
  <dcterms:created xsi:type="dcterms:W3CDTF">2024-09-26T10:11:00Z</dcterms:created>
  <dcterms:modified xsi:type="dcterms:W3CDTF">2026-04-08T13:25:00Z</dcterms:modified>
</cp:coreProperties>
</file>