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0BD10" w14:textId="13DBA482" w:rsidR="00035459" w:rsidRDefault="00035459" w:rsidP="00035459">
      <w:r>
        <w:t xml:space="preserve">Informuojame, kad Pirkime gautas tiekėjo paklausimas: </w:t>
      </w:r>
    </w:p>
    <w:p w14:paraId="0761D566" w14:textId="77777777" w:rsidR="00035459" w:rsidRDefault="00035459" w:rsidP="00035459"/>
    <w:p w14:paraId="4F446193" w14:textId="77777777" w:rsidR="00035459" w:rsidRDefault="00035459" w:rsidP="00035459">
      <w:r>
        <w:t>„1. Techninės specifikacijos 1 psl. nurodomos draudimo sumos tarp kurių nėra profesinės civilinės atsakomybės. Tačiau trečioje pirkimo dalyje nurodyta, jog perkama Bendroji ir Profesinė civilinė atsakomybė. Trečios pirkimo dalies 2. Draudimo objektas dalyje irgi minima ir profesinė atsakomybė. Prašome nurodyti: 1) kokią profesinę veiklą Perkančioji Organizacija siekia apdrausti? 2) kokia taikoma profesinei atsakomybei draudimo suma (1 psl. tik šiai rizikai nėra detalizacijos); 3) kokia išskaita yra taikoma profesinei civilinei atsakomybei (1 psl. tik šiai rizikai nėra detalizacijos); 4) ar teisingai suprantame, jog Perkančioji Organizacija nori Profesinei civilinei atsakomybei taikyti Bendrosios civilinės atsakomybės sąlygas? Tai įgyvendinti galime, tačiau tai kirsis su rinkos standartais ir gerąją praktika.</w:t>
      </w:r>
    </w:p>
    <w:p w14:paraId="0D603519" w14:textId="77777777" w:rsidR="00035459" w:rsidRDefault="00035459" w:rsidP="00035459">
      <w:r>
        <w:t>2. Prašome patikslinti: Prašoma apdrausti Civilinė atsakomybė už žalą padarytą patikėtam turtui. Koks turtas yra patikėtas Perkančiajai organizacijai? (pvz.: Nekilnojamas turtas (įvardijant lokacijas ir plotus); įranga (detalizuojant), kt.)</w:t>
      </w:r>
    </w:p>
    <w:p w14:paraId="3EE1BAC0" w14:textId="77777777" w:rsidR="00035459" w:rsidRDefault="00035459" w:rsidP="00035459">
      <w:r>
        <w:t>3. Ar teisingai suprantame, Trečios pirkimo dalies 11.8 p. nurodo, kad galima teikti pasiūlymą naudojantis savo standartines draudimo taisykles ir nedraudžiamuosius įvykius, papildant techninėje specifikacijoje nurodytais? Ar Perkančioji organizacija nelygins skirtingų tiekėjų draudimo taisyklių nedraudžiamųjų įvykių sąrašus pasiūlymų vertinimo procese? Klausiame, nes nedraudžiamųjų įvykių sąrašai labai skirtingi ir skirtingai apriboja draudimo apsaugą.</w:t>
      </w:r>
    </w:p>
    <w:p w14:paraId="74C63A34" w14:textId="0CAC5339" w:rsidR="00035459" w:rsidRDefault="00035459" w:rsidP="00035459">
      <w:r>
        <w:t>4. Pirmos pirkimo dalies 13.1,Antros pirkimo dalies 11.1 p. Trečiosios pirkimo dalies 13.1 p. nurodo, jog esant prieštaravimams tarp Draudiko Bendrosios civilinės atsakomybės taisyklių ir pirkimo Techninės specifikacijos, vadovaujamasi pirkimo techninės specifikacijos sąlygomis. Ar teisingai suprantame, kad kaip nurodyta sąlygoje, viršenybė taikoma tik nurodytai Bendrosios civilinės atsakomybės rūšiai? Rizikoms (pirkimo dalims), kurioms draudimo paslaugų tiekėjas turi atskiras draudimo taisykles, esant prieštaravimams naudojamasi draudimo taisyklėmis. Pvz.: mūsų atveju Valstybės tarnautojų ir darbuotojų, dirbančių pagal darbo sutartis, atsakomybės draudimas, Atsakomybės dėl darbo ir / ar valstybės tarnybos santykių draudimas, Darbdavio civilinės atsakomybės draudimas bei Profesinės civilinės atsakomybės draudimas (jeigu jis yra įtrauktas į pirkimo apimtį, žr. 1 kl.) turi atskiras draudimo taisykles. Nes tai atskiros draudimo rūšys su skirtinga specifika, apdraudžiančios skirtingas rizikas.</w:t>
      </w:r>
      <w:r w:rsidR="00FA7D60">
        <w:t>“</w:t>
      </w:r>
    </w:p>
    <w:p w14:paraId="73B3D0A7" w14:textId="77777777" w:rsidR="00035459" w:rsidRDefault="00035459" w:rsidP="00035459"/>
    <w:p w14:paraId="638A12D0" w14:textId="7CB83A1A" w:rsidR="00035459" w:rsidRPr="00FA7D60" w:rsidRDefault="00035459" w:rsidP="00035459">
      <w:pPr>
        <w:rPr>
          <w:b/>
          <w:bCs/>
        </w:rPr>
      </w:pPr>
      <w:r w:rsidRPr="00FA7D60">
        <w:rPr>
          <w:b/>
          <w:bCs/>
        </w:rPr>
        <w:t>Atsakymas:</w:t>
      </w:r>
    </w:p>
    <w:p w14:paraId="4300952C" w14:textId="77777777" w:rsidR="00035459" w:rsidRPr="00640779" w:rsidRDefault="00035459" w:rsidP="00035459">
      <w:pPr>
        <w:rPr>
          <w:b/>
          <w:bCs/>
          <w:i/>
          <w:iCs/>
        </w:rPr>
      </w:pPr>
      <w:r w:rsidRPr="00640779">
        <w:rPr>
          <w:b/>
          <w:bCs/>
          <w:i/>
          <w:iCs/>
        </w:rPr>
        <w:t>Į 1 klausimą dėl profesinės civilinės atsakomybės draudimo sąlygų</w:t>
      </w:r>
    </w:p>
    <w:p w14:paraId="08678A23" w14:textId="77777777" w:rsidR="00035459" w:rsidRDefault="00035459" w:rsidP="00035459"/>
    <w:p w14:paraId="072B0954" w14:textId="77777777" w:rsidR="00035459" w:rsidRDefault="00035459" w:rsidP="00035459">
      <w:r>
        <w:lastRenderedPageBreak/>
        <w:t>Techninės specifikacijos trečios dalies 2.1 punkte yra nurodytas detalizuojamas vienas iš draudimo objektų, reikėtų vadovautis šiai daliai taikomomis draudimo sumomis, išskaitomis (lentelės DRAUDIMO SUMOS IR BESĄLYGINĖS IŠSKAITOS  eilutė - Veiklos ir produkto civilinės atsakomybės draudimas (Trečia dalis)) ir naudojamomis sąvokomis.</w:t>
      </w:r>
    </w:p>
    <w:p w14:paraId="543C9A33" w14:textId="77777777" w:rsidR="00035459" w:rsidRDefault="00035459" w:rsidP="00035459"/>
    <w:p w14:paraId="45258533" w14:textId="5A733FFC" w:rsidR="00035459" w:rsidRPr="00640779" w:rsidRDefault="00035459" w:rsidP="00035459">
      <w:pPr>
        <w:rPr>
          <w:b/>
          <w:bCs/>
          <w:i/>
          <w:iCs/>
        </w:rPr>
      </w:pPr>
      <w:r w:rsidRPr="00640779">
        <w:rPr>
          <w:b/>
          <w:bCs/>
          <w:i/>
          <w:iCs/>
        </w:rPr>
        <w:t>Į 2 klausimą dėl patikėto turto</w:t>
      </w:r>
    </w:p>
    <w:p w14:paraId="4B73BCEF" w14:textId="77777777" w:rsidR="00035459" w:rsidRDefault="00035459" w:rsidP="00035459">
      <w:r>
        <w:t>Patikėtu turtu laikomas nuomos, panaudos, išperkamosios nuomos ar panašių sutarčių pagrindais Draudėjo išsinuomotas, pasiskolintas, saugojamas, prižiūrimas, jam patikėtas, jo valdomas, naudojamas, kontroliuojamas ar transportuojamas tretiesiems asmenims priklausantis turtas (įskaitant jo dalis) ir naudojamas Apdraustai veiklai vykdyti. Draudimo apsauga turi galioti tiek esamam, tiek ir būsimam Apdraustai veiklai vykdyti skirtam turtui. Teikiame informaciją apie nekilnojamą turtą: administracinis pastatas (Kareivių g. 1, LT 08221 Vilnius,  2200,07 kv. m, unikalus numeris 1097-4005-8019), garažas (Kareivių g. 1, Vilnius, 17,02 kv. m, unikalus numeris 4400-2331-1006). Įrangos sąrašo nėra galimybės pateikti.</w:t>
      </w:r>
    </w:p>
    <w:p w14:paraId="3223FAA3" w14:textId="77777777" w:rsidR="00035459" w:rsidRDefault="00035459" w:rsidP="00035459"/>
    <w:p w14:paraId="7096A68E" w14:textId="215300C8" w:rsidR="00035459" w:rsidRPr="00640779" w:rsidRDefault="00035459" w:rsidP="00035459">
      <w:pPr>
        <w:rPr>
          <w:b/>
          <w:bCs/>
          <w:i/>
          <w:iCs/>
        </w:rPr>
      </w:pPr>
      <w:r w:rsidRPr="00640779">
        <w:rPr>
          <w:b/>
          <w:bCs/>
          <w:i/>
          <w:iCs/>
        </w:rPr>
        <w:t>Į 3 klausimą dėl draudimo taisyklių ir nedraudžiamųjų įvykių vertinimo</w:t>
      </w:r>
    </w:p>
    <w:p w14:paraId="5E8077AA" w14:textId="77777777" w:rsidR="00035459" w:rsidRDefault="00035459" w:rsidP="00035459">
      <w:r>
        <w:t>Taip, galima teikti pasiūlymą naudojantis Draudiko standartines draudimo taisykles, bet tik tiek, kiek jos neprieštarauja techninėje specifikacijoje nurodytoms sąlygoms. Esant prieštaravimams tarp techninės specifikacijos ir Draudiko Bendrosios civilinės atsakomybės draudimo taisyklių, vadovaujamasi techninės specifikacijos sąlygomis. Neaptartos taisyklių nuostatos, darančios įtaką esminėms šalių teisėms ir pareigoms, galioja su sąlyga, kad nekeičia draudimo sutarties nuostatų, nes priešingu atveju jos laikomos negaliojančiomis.</w:t>
      </w:r>
    </w:p>
    <w:p w14:paraId="017BAC1F" w14:textId="77777777" w:rsidR="00035459" w:rsidRDefault="00035459" w:rsidP="00035459"/>
    <w:p w14:paraId="51A470ED" w14:textId="1E212810" w:rsidR="00035459" w:rsidRPr="00640779" w:rsidRDefault="00035459" w:rsidP="00035459">
      <w:pPr>
        <w:rPr>
          <w:b/>
          <w:bCs/>
          <w:i/>
          <w:iCs/>
        </w:rPr>
      </w:pPr>
      <w:r w:rsidRPr="00640779">
        <w:rPr>
          <w:b/>
          <w:bCs/>
          <w:i/>
          <w:iCs/>
        </w:rPr>
        <w:t>Į 4 klausimą dėl techninės specifikacijos ir atskirų draudimo taisyklių santykio bei taikomos viršenybės</w:t>
      </w:r>
    </w:p>
    <w:p w14:paraId="2C8D07FB" w14:textId="77777777" w:rsidR="00035459" w:rsidRDefault="00035459" w:rsidP="00035459">
      <w:r>
        <w:t>Tiekėjas gali turėti atskiras draudimo taisykles, tačiau visais atvejais pirmenybė taikoma techninės specifikacijos sąlygomis. Neaptartos taisyklių nuostatos, darančios įtaką esminėms šalių teisėms ir pareigoms, galioja su sąlyga, kad nekeičia draudimo sutarties nuostatų, nes priešingu atveju jos laikomos negaliojančiomis.</w:t>
      </w:r>
    </w:p>
    <w:p w14:paraId="3977E52D" w14:textId="77777777" w:rsidR="00035459" w:rsidRDefault="00035459" w:rsidP="00035459"/>
    <w:p w14:paraId="51CE282A" w14:textId="6BEAB6A7" w:rsidR="00C97337" w:rsidRDefault="00035459" w:rsidP="00035459">
      <w:r>
        <w:t>Taip pat informuojame, kad nukeliame pasiūlymų pateikimo terminą iš 2026 m. balandžio 9 d. 14.00 val. į 2026 m. balandžio 13 d. 14.00 val., o susipažinimo su pasiūlymais terminą – iš 2026 m. balandžio 9 d. 14.30 val. į 2026 m. balandžio 13 d. 14.30 val.</w:t>
      </w:r>
    </w:p>
    <w:sectPr w:rsidR="00C97337">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D33"/>
    <w:rsid w:val="00035459"/>
    <w:rsid w:val="00640779"/>
    <w:rsid w:val="00863A53"/>
    <w:rsid w:val="00BF401D"/>
    <w:rsid w:val="00C97337"/>
    <w:rsid w:val="00CC5145"/>
    <w:rsid w:val="00E60D33"/>
    <w:rsid w:val="00FA7D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DC830"/>
  <w15:chartTrackingRefBased/>
  <w15:docId w15:val="{C30AEA87-23BB-4E94-8C46-7384BB9A8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0D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0D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0D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0D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0D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0D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0D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0D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D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D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0D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0D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0D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0D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0D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0D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0D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0D33"/>
    <w:rPr>
      <w:rFonts w:eastAsiaTheme="majorEastAsia" w:cstheme="majorBidi"/>
      <w:color w:val="272727" w:themeColor="text1" w:themeTint="D8"/>
    </w:rPr>
  </w:style>
  <w:style w:type="paragraph" w:styleId="Title">
    <w:name w:val="Title"/>
    <w:basedOn w:val="Normal"/>
    <w:next w:val="Normal"/>
    <w:link w:val="TitleChar"/>
    <w:uiPriority w:val="10"/>
    <w:qFormat/>
    <w:rsid w:val="00E60D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D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D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0D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D33"/>
    <w:pPr>
      <w:spacing w:before="160"/>
      <w:jc w:val="center"/>
    </w:pPr>
    <w:rPr>
      <w:i/>
      <w:iCs/>
      <w:color w:val="404040" w:themeColor="text1" w:themeTint="BF"/>
    </w:rPr>
  </w:style>
  <w:style w:type="character" w:customStyle="1" w:styleId="QuoteChar">
    <w:name w:val="Quote Char"/>
    <w:basedOn w:val="DefaultParagraphFont"/>
    <w:link w:val="Quote"/>
    <w:uiPriority w:val="29"/>
    <w:rsid w:val="00E60D33"/>
    <w:rPr>
      <w:i/>
      <w:iCs/>
      <w:color w:val="404040" w:themeColor="text1" w:themeTint="BF"/>
    </w:rPr>
  </w:style>
  <w:style w:type="paragraph" w:styleId="ListParagraph">
    <w:name w:val="List Paragraph"/>
    <w:basedOn w:val="Normal"/>
    <w:uiPriority w:val="34"/>
    <w:qFormat/>
    <w:rsid w:val="00E60D33"/>
    <w:pPr>
      <w:ind w:left="720"/>
      <w:contextualSpacing/>
    </w:pPr>
  </w:style>
  <w:style w:type="character" w:styleId="IntenseEmphasis">
    <w:name w:val="Intense Emphasis"/>
    <w:basedOn w:val="DefaultParagraphFont"/>
    <w:uiPriority w:val="21"/>
    <w:qFormat/>
    <w:rsid w:val="00E60D33"/>
    <w:rPr>
      <w:i/>
      <w:iCs/>
      <w:color w:val="0F4761" w:themeColor="accent1" w:themeShade="BF"/>
    </w:rPr>
  </w:style>
  <w:style w:type="paragraph" w:styleId="IntenseQuote">
    <w:name w:val="Intense Quote"/>
    <w:basedOn w:val="Normal"/>
    <w:next w:val="Normal"/>
    <w:link w:val="IntenseQuoteChar"/>
    <w:uiPriority w:val="30"/>
    <w:qFormat/>
    <w:rsid w:val="00E60D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0D33"/>
    <w:rPr>
      <w:i/>
      <w:iCs/>
      <w:color w:val="0F4761" w:themeColor="accent1" w:themeShade="BF"/>
    </w:rPr>
  </w:style>
  <w:style w:type="character" w:styleId="IntenseReference">
    <w:name w:val="Intense Reference"/>
    <w:basedOn w:val="DefaultParagraphFont"/>
    <w:uiPriority w:val="32"/>
    <w:qFormat/>
    <w:rsid w:val="00E60D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3207</Words>
  <Characters>1828</Characters>
  <Application>Microsoft Office Word</Application>
  <DocSecurity>0</DocSecurity>
  <Lines>15</Lines>
  <Paragraphs>10</Paragraphs>
  <ScaleCrop>false</ScaleCrop>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Klimavičienė</dc:creator>
  <cp:keywords/>
  <dc:description/>
  <cp:lastModifiedBy>Rasa Klimavičienė</cp:lastModifiedBy>
  <cp:revision>6</cp:revision>
  <dcterms:created xsi:type="dcterms:W3CDTF">2026-04-09T07:50:00Z</dcterms:created>
  <dcterms:modified xsi:type="dcterms:W3CDTF">2026-04-09T07:52:00Z</dcterms:modified>
</cp:coreProperties>
</file>