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0C3539" w:rsidR="008B1184" w:rsidRPr="009860B4" w:rsidRDefault="008B1184" w:rsidP="00564229">
      <w:pPr>
        <w:widowControl w:val="0"/>
        <w:pBdr>
          <w:top w:val="nil"/>
          <w:left w:val="nil"/>
          <w:bottom w:val="nil"/>
          <w:right w:val="nil"/>
          <w:between w:val="nil"/>
        </w:pBdr>
        <w:tabs>
          <w:tab w:val="left" w:pos="567"/>
          <w:tab w:val="left" w:pos="851"/>
        </w:tabs>
        <w:jc w:val="right"/>
        <w:rPr>
          <w:bCs/>
          <w:sz w:val="22"/>
          <w:szCs w:val="22"/>
        </w:rPr>
      </w:pPr>
      <w:r w:rsidRPr="009860B4">
        <w:rPr>
          <w:bCs/>
          <w:sz w:val="22"/>
          <w:szCs w:val="22"/>
        </w:rPr>
        <w:t>Pirkimo sąlygų 1</w:t>
      </w:r>
      <w:r w:rsidR="00645B35" w:rsidRPr="009860B4">
        <w:rPr>
          <w:bCs/>
          <w:sz w:val="22"/>
          <w:szCs w:val="22"/>
        </w:rPr>
        <w:t>1</w:t>
      </w:r>
      <w:r w:rsidRPr="009860B4">
        <w:rPr>
          <w:bCs/>
          <w:sz w:val="22"/>
          <w:szCs w:val="22"/>
        </w:rPr>
        <w:t xml:space="preserve"> priedas</w:t>
      </w:r>
    </w:p>
    <w:p w14:paraId="1E4298F6" w14:textId="6CD17DF9" w:rsidR="008B1184" w:rsidRPr="00171AE0" w:rsidRDefault="008B1184" w:rsidP="00564229">
      <w:pPr>
        <w:widowControl w:val="0"/>
        <w:pBdr>
          <w:top w:val="nil"/>
          <w:left w:val="nil"/>
          <w:bottom w:val="nil"/>
          <w:right w:val="nil"/>
          <w:between w:val="nil"/>
        </w:pBdr>
        <w:tabs>
          <w:tab w:val="left" w:pos="567"/>
          <w:tab w:val="left" w:pos="851"/>
        </w:tabs>
        <w:jc w:val="right"/>
        <w:rPr>
          <w:bCs/>
          <w:color w:val="EE0000"/>
          <w:sz w:val="22"/>
          <w:szCs w:val="22"/>
        </w:rPr>
      </w:pPr>
      <w:r w:rsidRPr="009860B4">
        <w:rPr>
          <w:bCs/>
          <w:sz w:val="22"/>
          <w:szCs w:val="22"/>
        </w:rPr>
        <w:t>„Sutarties projektas</w:t>
      </w:r>
      <w:r w:rsidRPr="00171AE0">
        <w:rPr>
          <w:bCs/>
          <w:color w:val="EE0000"/>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7BDF8DA3" w14:textId="5AF0C87B" w:rsidR="00DE61F7" w:rsidRPr="00DE61F7" w:rsidRDefault="00DE61F7" w:rsidP="00DE61F7">
            <w:pPr>
              <w:autoSpaceDE w:val="0"/>
              <w:autoSpaceDN w:val="0"/>
              <w:adjustRightInd w:val="0"/>
              <w:jc w:val="center"/>
              <w:rPr>
                <w:rFonts w:eastAsia="LiberationSerif-Bold"/>
                <w:b/>
                <w:bCs/>
                <w:sz w:val="22"/>
                <w:szCs w:val="22"/>
              </w:rPr>
            </w:pPr>
            <w:r w:rsidRPr="00DE61F7">
              <w:rPr>
                <w:rFonts w:eastAsia="LiberationSerif-Bold"/>
                <w:b/>
                <w:bCs/>
                <w:sz w:val="22"/>
                <w:szCs w:val="22"/>
              </w:rPr>
              <w:t>DIAGNOSTINIAI REAGENTAI, PRIEMONĖS, EKSPLOATACINĖS MEDŽIAGOS GASTROENTEROLOGINIŲ LIGŲ</w:t>
            </w:r>
          </w:p>
          <w:p w14:paraId="249F1FE3" w14:textId="5A52FE2B" w:rsidR="009F734E" w:rsidRPr="00872EFE" w:rsidRDefault="00DE61F7" w:rsidP="00DE61F7">
            <w:pPr>
              <w:autoSpaceDE w:val="0"/>
              <w:autoSpaceDN w:val="0"/>
              <w:adjustRightInd w:val="0"/>
              <w:jc w:val="center"/>
              <w:rPr>
                <w:b/>
                <w:bCs/>
                <w:sz w:val="20"/>
              </w:rPr>
            </w:pPr>
            <w:r w:rsidRPr="00DE61F7">
              <w:rPr>
                <w:rFonts w:eastAsia="LiberationSerif-Bold"/>
                <w:b/>
                <w:bCs/>
                <w:sz w:val="22"/>
                <w:szCs w:val="22"/>
              </w:rPr>
              <w:t>SEROLOGINEI DIAGNOSTIKAI AUTOMATIZUOTU BŪDU, ĮSIGYJANT AUTOMATINĮ ANALIZATORIŲ PANAUDAI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lastRenderedPageBreak/>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344CEA37" w14:textId="086553CF" w:rsidR="00003ADF" w:rsidRPr="00A95DE7" w:rsidRDefault="00DE61F7" w:rsidP="00DE61F7">
            <w:pPr>
              <w:autoSpaceDE w:val="0"/>
              <w:autoSpaceDN w:val="0"/>
              <w:adjustRightInd w:val="0"/>
              <w:rPr>
                <w:sz w:val="22"/>
                <w:szCs w:val="22"/>
              </w:rPr>
            </w:pPr>
            <w:bookmarkStart w:id="0" w:name="_Hlk211974137"/>
            <w:r w:rsidRPr="00A95DE7">
              <w:rPr>
                <w:rFonts w:eastAsia="LiberationSerif-Bold"/>
                <w:sz w:val="22"/>
                <w:szCs w:val="22"/>
              </w:rPr>
              <w:t>Diagnostiniai reagentai, priemonės, eksploatacinės medžiagos gastroenterologinių ligų serologinei diagnostikai automatizuotu būdu, įsigyjant automatinį analizatorių panaudai</w:t>
            </w:r>
            <w:r w:rsidR="00FA4AC5" w:rsidRPr="00A95DE7">
              <w:rPr>
                <w:sz w:val="22"/>
                <w:szCs w:val="22"/>
              </w:rPr>
              <w:t>.</w:t>
            </w:r>
            <w:r w:rsidR="00A93BF8" w:rsidRPr="00A95DE7">
              <w:rPr>
                <w:sz w:val="22"/>
                <w:szCs w:val="22"/>
              </w:rPr>
              <w:t xml:space="preserve"> </w:t>
            </w:r>
          </w:p>
          <w:bookmarkEnd w:id="0"/>
          <w:p w14:paraId="74009C55" w14:textId="39CE8AFF" w:rsidR="009F734E" w:rsidRPr="00A95DE7" w:rsidRDefault="00CC11BB" w:rsidP="00DE61F7">
            <w:pPr>
              <w:autoSpaceDE w:val="0"/>
              <w:autoSpaceDN w:val="0"/>
              <w:adjustRightInd w:val="0"/>
              <w:jc w:val="both"/>
              <w:rPr>
                <w:kern w:val="2"/>
                <w:sz w:val="22"/>
                <w:szCs w:val="22"/>
              </w:rPr>
            </w:pPr>
            <w:r w:rsidRPr="00A95DE7">
              <w:rPr>
                <w:kern w:val="2"/>
                <w:sz w:val="22"/>
                <w:szCs w:val="22"/>
              </w:rPr>
              <w:t xml:space="preserve">Tiekėjas įsipareigoja Sutartyje numatytomis sąlygomis parduoti Pirkėjui Sutarties 1 priede nurodytus </w:t>
            </w:r>
            <w:r w:rsidRPr="00A95DE7">
              <w:rPr>
                <w:rFonts w:eastAsia="TimesNewRomanPS-BoldMT"/>
                <w:sz w:val="22"/>
                <w:szCs w:val="22"/>
                <w:lang w:eastAsia="lt-LT"/>
              </w:rPr>
              <w:t>diagnostinius reagentus ir eksploatacines medžiag</w:t>
            </w:r>
            <w:r w:rsidR="00872EFE" w:rsidRPr="00A95DE7">
              <w:rPr>
                <w:rFonts w:eastAsia="TimesNewRomanPS-BoldMT"/>
                <w:sz w:val="22"/>
                <w:szCs w:val="22"/>
                <w:lang w:eastAsia="lt-LT"/>
              </w:rPr>
              <w:t>a</w:t>
            </w:r>
            <w:r w:rsidRPr="00A95DE7">
              <w:rPr>
                <w:rFonts w:eastAsia="TimesNewRomanPS-BoldMT"/>
                <w:sz w:val="22"/>
                <w:szCs w:val="22"/>
                <w:lang w:eastAsia="lt-LT"/>
              </w:rPr>
              <w:t xml:space="preserve">s </w:t>
            </w:r>
            <w:r w:rsidR="00DE61F7" w:rsidRPr="00A95DE7">
              <w:rPr>
                <w:rFonts w:eastAsia="TimesNewRomanPS-BoldMT"/>
                <w:sz w:val="22"/>
                <w:szCs w:val="22"/>
                <w:lang w:eastAsia="lt-LT"/>
              </w:rPr>
              <w:t>g</w:t>
            </w:r>
            <w:r w:rsidR="00DE61F7" w:rsidRPr="00A95DE7">
              <w:rPr>
                <w:rFonts w:eastAsia="LiberationSerif-Bold"/>
                <w:sz w:val="22"/>
                <w:szCs w:val="22"/>
              </w:rPr>
              <w:t>astroenterologinių ligų serologinei diagnostikai automatizuotu būdu</w:t>
            </w:r>
            <w:r w:rsidR="00DE61F7" w:rsidRPr="00A95DE7">
              <w:rPr>
                <w:kern w:val="2"/>
                <w:sz w:val="22"/>
                <w:szCs w:val="22"/>
              </w:rPr>
              <w:t xml:space="preserve"> </w:t>
            </w:r>
            <w:r w:rsidRPr="00A95DE7">
              <w:rPr>
                <w:kern w:val="2"/>
                <w:sz w:val="22"/>
                <w:szCs w:val="22"/>
              </w:rPr>
              <w:t xml:space="preserve">(toliau – Prekės) ir perduoti pagal panaudą </w:t>
            </w:r>
            <w:r w:rsidR="00872EFE" w:rsidRPr="00A95DE7">
              <w:rPr>
                <w:rFonts w:eastAsia="TimesNewRomanPSMT"/>
                <w:sz w:val="22"/>
                <w:szCs w:val="22"/>
              </w:rPr>
              <w:t>analizatorių</w:t>
            </w:r>
            <w:r w:rsidR="00DE61F7" w:rsidRPr="00A95DE7">
              <w:rPr>
                <w:rFonts w:eastAsia="TimesNewRomanPSMT"/>
                <w:sz w:val="22"/>
                <w:szCs w:val="22"/>
              </w:rPr>
              <w:t>r gastroenetrologinių ligų serologinei diagnosikai</w:t>
            </w:r>
            <w:r w:rsidR="00872EFE" w:rsidRPr="00A95DE7">
              <w:rPr>
                <w:rFonts w:eastAsia="TimesNewRomanPSMT"/>
                <w:sz w:val="22"/>
                <w:szCs w:val="22"/>
              </w:rPr>
              <w:t xml:space="preserve">. </w:t>
            </w:r>
            <w:bookmarkStart w:id="1" w:name="_Hlk208558900"/>
            <w:r w:rsidR="00872EFE" w:rsidRPr="00A95DE7">
              <w:rPr>
                <w:rFonts w:eastAsia="TimesNewRomanPSMT"/>
                <w:sz w:val="22"/>
                <w:szCs w:val="22"/>
              </w:rPr>
              <w:t>Kartu su analizatoriumi turi būti pateikti visi įrangos veikimą užtikrinantys, būtini  priedai ir priemonės</w:t>
            </w:r>
            <w:bookmarkEnd w:id="1"/>
            <w:r w:rsidR="00DE61F7" w:rsidRPr="00A95DE7">
              <w:rPr>
                <w:rFonts w:eastAsia="TimesNewRomanPSMT"/>
                <w:sz w:val="22"/>
                <w:szCs w:val="22"/>
              </w:rPr>
              <w:t xml:space="preserve">. </w:t>
            </w:r>
            <w:r w:rsidRPr="00A95DE7">
              <w:rPr>
                <w:kern w:val="2"/>
                <w:sz w:val="22"/>
                <w:szCs w:val="22"/>
              </w:rPr>
              <w:t>Išsamus Prekių aprašymas ir kiti reikalavimai tiekiamoms Prekėms</w:t>
            </w:r>
            <w:r w:rsidR="00FA4AC5" w:rsidRPr="00A95DE7">
              <w:rPr>
                <w:kern w:val="2"/>
                <w:sz w:val="22"/>
                <w:szCs w:val="22"/>
              </w:rPr>
              <w:t xml:space="preserve"> ir pateikiamai pagal panaudą Įrangai</w:t>
            </w:r>
            <w:r w:rsidRPr="00A95DE7">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75EB23EC" w:rsidR="00A12F1C" w:rsidRPr="00A95DE7" w:rsidRDefault="00DE4370" w:rsidP="00DE61F7">
            <w:pPr>
              <w:autoSpaceDE w:val="0"/>
              <w:autoSpaceDN w:val="0"/>
              <w:adjustRightInd w:val="0"/>
              <w:rPr>
                <w:kern w:val="2"/>
                <w:sz w:val="22"/>
                <w:szCs w:val="22"/>
              </w:rPr>
            </w:pPr>
            <w:r w:rsidRPr="00A95DE7">
              <w:rPr>
                <w:sz w:val="22"/>
                <w:szCs w:val="22"/>
              </w:rPr>
              <w:t>„</w:t>
            </w:r>
            <w:r w:rsidR="00DE61F7" w:rsidRPr="00A95DE7">
              <w:rPr>
                <w:rFonts w:eastAsia="LiberationSerif-Bold"/>
                <w:sz w:val="22"/>
                <w:szCs w:val="22"/>
              </w:rPr>
              <w:t>Diagnostiniai reagentai, priemonės, eksploatacinės medžiagos gastroenterologinių ligų serologinei diagnostikai automatizuotu būdu, įsigyjant automatinį analizatorių panaudai</w:t>
            </w:r>
            <w:r w:rsidRPr="00A95DE7">
              <w:rPr>
                <w:sz w:val="22"/>
                <w:szCs w:val="22"/>
              </w:rPr>
              <w:t>“</w:t>
            </w:r>
            <w:r w:rsidR="00D062A8" w:rsidRPr="00A95DE7">
              <w:rPr>
                <w:kern w:val="2"/>
                <w:sz w:val="22"/>
                <w:szCs w:val="22"/>
              </w:rPr>
              <w:t>, pirkimo Nr.</w:t>
            </w:r>
            <w:r w:rsidR="004C14C9" w:rsidRPr="00A95DE7">
              <w:rPr>
                <w:kern w:val="2"/>
                <w:sz w:val="22"/>
                <w:szCs w:val="22"/>
              </w:rPr>
              <w:t xml:space="preserve"> </w:t>
            </w:r>
            <w:r w:rsidR="00702BCC">
              <w:rPr>
                <w:kern w:val="2"/>
                <w:sz w:val="22"/>
                <w:szCs w:val="22"/>
              </w:rPr>
              <w:t>7286378</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7A825D88"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Pr>
                <w:b/>
                <w:bCs/>
                <w:kern w:val="2"/>
                <w:sz w:val="22"/>
                <w:szCs w:val="22"/>
              </w:rPr>
              <w:t>10 (dešimt</w:t>
            </w:r>
            <w:r w:rsidRPr="00A04317">
              <w:rPr>
                <w:b/>
                <w:bCs/>
                <w:kern w:val="2"/>
                <w:sz w:val="22"/>
                <w:szCs w:val="22"/>
              </w:rPr>
              <w:t>)</w:t>
            </w:r>
            <w:r w:rsidRPr="00D4760A">
              <w:rPr>
                <w:b/>
                <w:bCs/>
                <w:kern w:val="2"/>
                <w:sz w:val="22"/>
                <w:szCs w:val="22"/>
              </w:rPr>
              <w:t xml:space="preserve"> darbo dien</w:t>
            </w:r>
            <w:r w:rsidRPr="00A04317">
              <w:rPr>
                <w:b/>
                <w:bCs/>
                <w:kern w:val="2"/>
                <w:sz w:val="22"/>
                <w:szCs w:val="22"/>
              </w:rPr>
              <w:t>ų</w:t>
            </w:r>
            <w:r w:rsidRPr="00D4760A">
              <w:rPr>
                <w:kern w:val="2"/>
                <w:sz w:val="22"/>
                <w:szCs w:val="22"/>
              </w:rPr>
              <w:t xml:space="preserve"> nuo užsakymo pateikimo dieno</w:t>
            </w:r>
            <w:r w:rsidR="008319EB">
              <w:rPr>
                <w:kern w:val="2"/>
                <w:sz w:val="22"/>
                <w:szCs w:val="22"/>
              </w:rPr>
              <w:t>s</w:t>
            </w:r>
            <w:r w:rsidRPr="00A04317">
              <w:rPr>
                <w:kern w:val="2"/>
                <w:sz w:val="22"/>
                <w:szCs w:val="22"/>
              </w:rPr>
              <w:t>.</w:t>
            </w:r>
            <w:r w:rsidRPr="00D4760A">
              <w:rPr>
                <w:kern w:val="2"/>
                <w:sz w:val="22"/>
                <w:szCs w:val="22"/>
              </w:rPr>
              <w:t xml:space="preserve"> </w:t>
            </w:r>
          </w:p>
          <w:p w14:paraId="20F0DC4A" w14:textId="252E5E47" w:rsidR="008B30B8" w:rsidRPr="00A04317" w:rsidRDefault="00E42B8D" w:rsidP="00323026">
            <w:pPr>
              <w:jc w:val="both"/>
              <w:rPr>
                <w:kern w:val="2"/>
                <w:sz w:val="22"/>
                <w:szCs w:val="22"/>
              </w:rPr>
            </w:pPr>
            <w:r w:rsidRPr="00A04317">
              <w:rPr>
                <w:kern w:val="2"/>
                <w:sz w:val="22"/>
                <w:szCs w:val="22"/>
              </w:rPr>
              <w:t>Prekių pristatymo adresas</w:t>
            </w:r>
            <w:r w:rsidR="008B30B8" w:rsidRPr="00A04317">
              <w:rPr>
                <w:kern w:val="2"/>
                <w:sz w:val="22"/>
                <w:szCs w:val="22"/>
              </w:rPr>
              <w:t xml:space="preserve">: </w:t>
            </w:r>
          </w:p>
          <w:p w14:paraId="5F87590A" w14:textId="2F2BB617"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41</w:t>
            </w:r>
            <w:r w:rsidRPr="00A04317">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BC89E17" w14:textId="3F76DD39" w:rsidR="002D7521" w:rsidRDefault="002315E5" w:rsidP="00256423">
            <w:pPr>
              <w:rPr>
                <w:sz w:val="22"/>
                <w:szCs w:val="22"/>
              </w:rPr>
            </w:pPr>
            <w:r w:rsidRPr="002315E5">
              <w:rPr>
                <w:kern w:val="2"/>
                <w:sz w:val="22"/>
                <w:szCs w:val="22"/>
              </w:rPr>
              <w:t>Kartu su prekėmis turi būti pateiktas išsamus, patogus naudojimui darbo/vartotojo vadovas anglų ir lietuvių kalbomis</w:t>
            </w:r>
            <w:r>
              <w:rPr>
                <w:kern w:val="2"/>
                <w:sz w:val="22"/>
                <w:szCs w:val="22"/>
              </w:rPr>
              <w:t xml:space="preserve">, </w:t>
            </w:r>
            <w:r w:rsidRPr="002315E5">
              <w:rPr>
                <w:kern w:val="2"/>
                <w:sz w:val="22"/>
                <w:szCs w:val="22"/>
              </w:rPr>
              <w:t>išsamus klaidų, perspėjimų paaiškinimas ir būtinų veiksmų atlikimas.</w:t>
            </w:r>
            <w:r w:rsidR="002D7521" w:rsidRPr="002D7521">
              <w:rPr>
                <w:sz w:val="22"/>
                <w:szCs w:val="22"/>
              </w:rPr>
              <w:t>. Galima pateikti elektroninėje laikmenoj</w:t>
            </w:r>
            <w:r w:rsidR="002D7521">
              <w:rPr>
                <w:sz w:val="22"/>
                <w:szCs w:val="22"/>
              </w:rPr>
              <w:t>e.</w:t>
            </w:r>
          </w:p>
          <w:p w14:paraId="6205E0A2" w14:textId="6EB0C3A7" w:rsidR="00D42E29" w:rsidRPr="002D7521" w:rsidRDefault="00D42E29" w:rsidP="00256423">
            <w:pPr>
              <w:jc w:val="both"/>
              <w:rPr>
                <w:kern w:val="2"/>
                <w:sz w:val="22"/>
                <w:szCs w:val="22"/>
              </w:rPr>
            </w:pPr>
            <w:r w:rsidRPr="002D7521">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lastRenderedPageBreak/>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67164186" w:rsidR="002D7521" w:rsidRPr="007B4750" w:rsidRDefault="002D7521" w:rsidP="002D7521">
            <w:pPr>
              <w:jc w:val="both"/>
              <w:rPr>
                <w:kern w:val="2"/>
                <w:sz w:val="22"/>
                <w:szCs w:val="22"/>
              </w:rPr>
            </w:pPr>
            <w:r w:rsidRPr="007B4750">
              <w:rPr>
                <w:kern w:val="2"/>
                <w:sz w:val="22"/>
                <w:szCs w:val="22"/>
              </w:rPr>
              <w:t xml:space="preserve">Pradinės Sutarties vertė yra </w:t>
            </w:r>
            <w:r w:rsidR="00C82EFF">
              <w:rPr>
                <w:kern w:val="2"/>
                <w:sz w:val="22"/>
                <w:szCs w:val="22"/>
              </w:rPr>
              <w:t>188</w:t>
            </w:r>
            <w:r w:rsidR="00D5303A">
              <w:rPr>
                <w:kern w:val="2"/>
                <w:sz w:val="22"/>
                <w:szCs w:val="22"/>
              </w:rPr>
              <w:t xml:space="preserve"> </w:t>
            </w:r>
            <w:r w:rsidR="00C82EFF">
              <w:rPr>
                <w:kern w:val="2"/>
                <w:sz w:val="22"/>
                <w:szCs w:val="22"/>
              </w:rPr>
              <w:t>000,00</w:t>
            </w:r>
            <w:r w:rsidR="00F01F77" w:rsidRPr="007B4750">
              <w:rPr>
                <w:kern w:val="2"/>
                <w:sz w:val="22"/>
                <w:szCs w:val="22"/>
              </w:rPr>
              <w:t xml:space="preserve"> Eur </w:t>
            </w:r>
            <w:r w:rsidRPr="007B4750">
              <w:rPr>
                <w:kern w:val="2"/>
                <w:sz w:val="22"/>
                <w:szCs w:val="22"/>
              </w:rPr>
              <w:t>(</w:t>
            </w:r>
            <w:r w:rsidR="00C82EFF">
              <w:rPr>
                <w:kern w:val="2"/>
                <w:sz w:val="22"/>
                <w:szCs w:val="22"/>
              </w:rPr>
              <w:t>Šimtas aštuoniasdešimt aštuoni eurai</w:t>
            </w:r>
            <w:r w:rsidR="00F01F77" w:rsidRPr="007B4750">
              <w:rPr>
                <w:kern w:val="2"/>
                <w:sz w:val="22"/>
                <w:szCs w:val="22"/>
              </w:rPr>
              <w:t xml:space="preserve"> 00 centų</w:t>
            </w:r>
            <w:r w:rsidRPr="007B4750">
              <w:rPr>
                <w:kern w:val="2"/>
                <w:sz w:val="22"/>
                <w:szCs w:val="22"/>
              </w:rPr>
              <w:t>)</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5BDC92DC"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C82EFF">
              <w:rPr>
                <w:kern w:val="2"/>
                <w:sz w:val="22"/>
                <w:szCs w:val="22"/>
              </w:rPr>
              <w:t>9</w:t>
            </w:r>
            <w:r w:rsidR="00D5303A">
              <w:rPr>
                <w:kern w:val="2"/>
                <w:sz w:val="22"/>
                <w:szCs w:val="22"/>
              </w:rPr>
              <w:t xml:space="preserve"> </w:t>
            </w:r>
            <w:r w:rsidR="00C82EFF">
              <w:rPr>
                <w:kern w:val="2"/>
                <w:sz w:val="22"/>
                <w:szCs w:val="22"/>
              </w:rPr>
              <w:t>400</w:t>
            </w:r>
            <w:r w:rsidR="00F01F77" w:rsidRPr="007B4750">
              <w:rPr>
                <w:kern w:val="2"/>
                <w:sz w:val="22"/>
                <w:szCs w:val="22"/>
              </w:rPr>
              <w:t>,00 Eur</w:t>
            </w:r>
            <w:r w:rsidRPr="007B4750">
              <w:rPr>
                <w:kern w:val="2"/>
                <w:sz w:val="22"/>
                <w:szCs w:val="22"/>
              </w:rPr>
              <w:t xml:space="preserve"> (</w:t>
            </w:r>
            <w:r w:rsidR="00F01F77" w:rsidRPr="007B4750">
              <w:rPr>
                <w:kern w:val="2"/>
                <w:sz w:val="22"/>
                <w:szCs w:val="22"/>
              </w:rPr>
              <w:t>De</w:t>
            </w:r>
            <w:r w:rsidR="00C82EFF">
              <w:rPr>
                <w:kern w:val="2"/>
                <w:sz w:val="22"/>
                <w:szCs w:val="22"/>
              </w:rPr>
              <w:t xml:space="preserve">vyni </w:t>
            </w:r>
            <w:r w:rsidR="00F01F77" w:rsidRPr="007B4750">
              <w:rPr>
                <w:kern w:val="2"/>
                <w:sz w:val="22"/>
                <w:szCs w:val="22"/>
              </w:rPr>
              <w:t>tūkstanči</w:t>
            </w:r>
            <w:r w:rsidR="00C82EFF">
              <w:rPr>
                <w:kern w:val="2"/>
                <w:sz w:val="22"/>
                <w:szCs w:val="22"/>
              </w:rPr>
              <w:t xml:space="preserve">ai keturi </w:t>
            </w:r>
            <w:r w:rsidR="00F01F77" w:rsidRPr="007B4750">
              <w:rPr>
                <w:kern w:val="2"/>
                <w:sz w:val="22"/>
                <w:szCs w:val="22"/>
              </w:rPr>
              <w:t>šimtai eurų 00 centų</w:t>
            </w:r>
            <w:r w:rsidRPr="007B4750">
              <w:rPr>
                <w:kern w:val="2"/>
                <w:sz w:val="22"/>
                <w:szCs w:val="22"/>
              </w:rPr>
              <w:t>)</w:t>
            </w:r>
            <w:r w:rsidR="00F01F77" w:rsidRPr="007B4750">
              <w:rPr>
                <w:kern w:val="2"/>
                <w:sz w:val="22"/>
                <w:szCs w:val="22"/>
              </w:rPr>
              <w:t>;</w:t>
            </w:r>
          </w:p>
          <w:p w14:paraId="27760FF6" w14:textId="37FAF251" w:rsidR="002D7521" w:rsidRPr="007B4750" w:rsidRDefault="002D7521" w:rsidP="002D7521">
            <w:pPr>
              <w:jc w:val="both"/>
              <w:rPr>
                <w:kern w:val="2"/>
                <w:sz w:val="22"/>
                <w:szCs w:val="22"/>
              </w:rPr>
            </w:pPr>
            <w:r w:rsidRPr="007B4750">
              <w:rPr>
                <w:kern w:val="2"/>
                <w:sz w:val="22"/>
                <w:szCs w:val="22"/>
              </w:rPr>
              <w:t xml:space="preserve">Sutarties kaina yra </w:t>
            </w:r>
            <w:r w:rsidR="00C82EFF">
              <w:rPr>
                <w:kern w:val="2"/>
                <w:sz w:val="22"/>
                <w:szCs w:val="22"/>
              </w:rPr>
              <w:t>197</w:t>
            </w:r>
            <w:r w:rsidR="00D5303A">
              <w:rPr>
                <w:kern w:val="2"/>
                <w:sz w:val="22"/>
                <w:szCs w:val="22"/>
              </w:rPr>
              <w:t xml:space="preserve"> </w:t>
            </w:r>
            <w:r w:rsidR="00C82EFF">
              <w:rPr>
                <w:kern w:val="2"/>
                <w:sz w:val="22"/>
                <w:szCs w:val="22"/>
              </w:rPr>
              <w:t>400</w:t>
            </w:r>
            <w:r w:rsidR="00F01F77" w:rsidRPr="007B4750">
              <w:rPr>
                <w:kern w:val="2"/>
                <w:sz w:val="22"/>
                <w:szCs w:val="22"/>
              </w:rPr>
              <w:t xml:space="preserve">,00) Eur </w:t>
            </w:r>
            <w:r w:rsidRPr="007B4750">
              <w:rPr>
                <w:kern w:val="2"/>
                <w:sz w:val="22"/>
                <w:szCs w:val="22"/>
              </w:rPr>
              <w:t>(</w:t>
            </w:r>
            <w:r w:rsidR="00C82EFF">
              <w:rPr>
                <w:kern w:val="2"/>
                <w:sz w:val="22"/>
                <w:szCs w:val="22"/>
              </w:rPr>
              <w:t>Šimtas devyniasdešimt septyni</w:t>
            </w:r>
            <w:r w:rsidR="00F01F77" w:rsidRPr="007B4750">
              <w:rPr>
                <w:kern w:val="2"/>
                <w:sz w:val="22"/>
                <w:szCs w:val="22"/>
              </w:rPr>
              <w:t xml:space="preserve"> </w:t>
            </w:r>
            <w:r w:rsidR="00C82EFF">
              <w:rPr>
                <w:kern w:val="2"/>
                <w:sz w:val="22"/>
                <w:szCs w:val="22"/>
              </w:rPr>
              <w:t xml:space="preserve">tūkstančiai keturi šimtai </w:t>
            </w:r>
            <w:r w:rsidR="00F01F77" w:rsidRPr="007B4750">
              <w:rPr>
                <w:kern w:val="2"/>
                <w:sz w:val="22"/>
                <w:szCs w:val="22"/>
              </w:rPr>
              <w:t>eurų 00 centų</w:t>
            </w:r>
            <w:r w:rsidRPr="007B4750">
              <w:rPr>
                <w:kern w:val="2"/>
                <w:sz w:val="22"/>
                <w:szCs w:val="22"/>
              </w:rPr>
              <w:t>) su PVM.</w:t>
            </w:r>
          </w:p>
          <w:p w14:paraId="4E6C94BF" w14:textId="77777777" w:rsidR="007B4750" w:rsidRPr="007B4750" w:rsidRDefault="007B4750" w:rsidP="007B4750">
            <w:pPr>
              <w:jc w:val="both"/>
              <w:rPr>
                <w:kern w:val="2"/>
                <w:sz w:val="22"/>
                <w:szCs w:val="22"/>
              </w:rPr>
            </w:pPr>
            <w:r w:rsidRPr="00D5303A">
              <w:rPr>
                <w:color w:val="EE0000"/>
                <w:kern w:val="2"/>
                <w:sz w:val="22"/>
                <w:szCs w:val="22"/>
              </w:rPr>
              <w:t xml:space="preserve">Šioje Sutartyje Pradinės Sutarties vertė yra lygi maksimaliai pirkimui skirtai lėšų sumai be PVM pirkimo dokumentuose ir Sutartyje nurodytų Prekių įsigijimui Tiekėjo pasiūlyme nurodytais įkainiais be PVM. </w:t>
            </w:r>
            <w:r w:rsidRPr="007B4750">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790D53"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w:t>
            </w:r>
            <w:r w:rsidRPr="00CD0E20">
              <w:rPr>
                <w:kern w:val="2"/>
                <w:sz w:val="22"/>
                <w:szCs w:val="22"/>
              </w:rPr>
              <w:lastRenderedPageBreak/>
              <w:t>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lastRenderedPageBreak/>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5C6A46C2"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A47491">
              <w:rPr>
                <w:kern w:val="2"/>
                <w:sz w:val="22"/>
                <w:szCs w:val="22"/>
              </w:rPr>
              <w:t>2</w:t>
            </w:r>
            <w:r w:rsidRPr="00B96C6D">
              <w:rPr>
                <w:kern w:val="2"/>
                <w:sz w:val="22"/>
                <w:szCs w:val="22"/>
              </w:rPr>
              <w:t xml:space="preserve"> (</w:t>
            </w:r>
            <w:r w:rsidR="00A47491">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18920092"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A47491">
              <w:rPr>
                <w:kern w:val="2"/>
                <w:sz w:val="22"/>
                <w:szCs w:val="22"/>
              </w:rPr>
              <w:t>2</w:t>
            </w:r>
            <w:r w:rsidRPr="00B96C6D">
              <w:rPr>
                <w:kern w:val="2"/>
                <w:sz w:val="22"/>
                <w:szCs w:val="22"/>
              </w:rPr>
              <w:t> (</w:t>
            </w:r>
            <w:r w:rsidR="00A47491">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w:t>
            </w:r>
            <w:r w:rsidRPr="00B96C6D">
              <w:rPr>
                <w:b/>
                <w:bCs/>
                <w:kern w:val="2"/>
                <w:sz w:val="22"/>
                <w:szCs w:val="22"/>
              </w:rPr>
              <w:lastRenderedPageBreak/>
              <w:t xml:space="preserve">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lastRenderedPageBreak/>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Pr>
                <w:color w:val="000000"/>
                <w:kern w:val="2"/>
                <w:sz w:val="22"/>
                <w:szCs w:val="22"/>
              </w:rPr>
              <w:t>36</w:t>
            </w:r>
            <w:r w:rsidR="00256423">
              <w:rPr>
                <w:color w:val="000000"/>
                <w:kern w:val="2"/>
                <w:sz w:val="22"/>
                <w:szCs w:val="22"/>
              </w:rPr>
              <w:t xml:space="preserve"> mėn. prekių </w:t>
            </w:r>
            <w:r>
              <w:rPr>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2"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2"/>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3"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3"/>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w:t>
            </w:r>
            <w:r w:rsidRPr="00CC30E6">
              <w:rPr>
                <w:bCs/>
                <w:sz w:val="22"/>
                <w:szCs w:val="22"/>
              </w:rPr>
              <w:lastRenderedPageBreak/>
              <w:t>(gali)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77777777"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 xml:space="preserve">2025-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5249C1">
          <w:pgSz w:w="12240" w:h="15840"/>
          <w:pgMar w:top="1134" w:right="1183" w:bottom="851" w:left="170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74EB" w14:textId="77777777" w:rsidR="00790D53" w:rsidRDefault="00790D53">
      <w:r>
        <w:separator/>
      </w:r>
    </w:p>
  </w:endnote>
  <w:endnote w:type="continuationSeparator" w:id="0">
    <w:p w14:paraId="16A02005" w14:textId="77777777" w:rsidR="00790D53" w:rsidRDefault="0079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F642" w14:textId="77777777" w:rsidR="00790D53" w:rsidRDefault="00790D53">
      <w:r>
        <w:separator/>
      </w:r>
    </w:p>
  </w:footnote>
  <w:footnote w:type="continuationSeparator" w:id="0">
    <w:p w14:paraId="71AC85D9" w14:textId="77777777" w:rsidR="00790D53" w:rsidRDefault="0079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65F32"/>
    <w:rsid w:val="00171AE0"/>
    <w:rsid w:val="00173211"/>
    <w:rsid w:val="00192314"/>
    <w:rsid w:val="001B2EB7"/>
    <w:rsid w:val="001D0762"/>
    <w:rsid w:val="001D6277"/>
    <w:rsid w:val="001E1E07"/>
    <w:rsid w:val="001E410C"/>
    <w:rsid w:val="00201517"/>
    <w:rsid w:val="00202E5E"/>
    <w:rsid w:val="00206616"/>
    <w:rsid w:val="00213B60"/>
    <w:rsid w:val="002315E5"/>
    <w:rsid w:val="00256423"/>
    <w:rsid w:val="00267F55"/>
    <w:rsid w:val="002764F4"/>
    <w:rsid w:val="002825A7"/>
    <w:rsid w:val="00283ADB"/>
    <w:rsid w:val="002908ED"/>
    <w:rsid w:val="002A6D77"/>
    <w:rsid w:val="002B5DAD"/>
    <w:rsid w:val="002B685E"/>
    <w:rsid w:val="002B7C65"/>
    <w:rsid w:val="002C64DC"/>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D0FA4"/>
    <w:rsid w:val="003D1E84"/>
    <w:rsid w:val="003E5D1D"/>
    <w:rsid w:val="003E7AE5"/>
    <w:rsid w:val="004022AB"/>
    <w:rsid w:val="00404614"/>
    <w:rsid w:val="00411764"/>
    <w:rsid w:val="00412904"/>
    <w:rsid w:val="00412EC1"/>
    <w:rsid w:val="004225B3"/>
    <w:rsid w:val="00443101"/>
    <w:rsid w:val="00447B50"/>
    <w:rsid w:val="004508F6"/>
    <w:rsid w:val="004564B0"/>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54F6D"/>
    <w:rsid w:val="00555A37"/>
    <w:rsid w:val="0056187B"/>
    <w:rsid w:val="005618BF"/>
    <w:rsid w:val="00564229"/>
    <w:rsid w:val="00564C70"/>
    <w:rsid w:val="005670EB"/>
    <w:rsid w:val="005727C7"/>
    <w:rsid w:val="00573E13"/>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2B6D"/>
    <w:rsid w:val="00702BCC"/>
    <w:rsid w:val="00706829"/>
    <w:rsid w:val="00707524"/>
    <w:rsid w:val="0073144F"/>
    <w:rsid w:val="00741B14"/>
    <w:rsid w:val="007509CC"/>
    <w:rsid w:val="00753365"/>
    <w:rsid w:val="00754D1A"/>
    <w:rsid w:val="00755EDE"/>
    <w:rsid w:val="0075686F"/>
    <w:rsid w:val="00781CEF"/>
    <w:rsid w:val="00785F94"/>
    <w:rsid w:val="00790D53"/>
    <w:rsid w:val="007919E1"/>
    <w:rsid w:val="007B4750"/>
    <w:rsid w:val="007D36F6"/>
    <w:rsid w:val="007E26F5"/>
    <w:rsid w:val="007E3458"/>
    <w:rsid w:val="007E3B6A"/>
    <w:rsid w:val="007E4B28"/>
    <w:rsid w:val="007F03B7"/>
    <w:rsid w:val="007F22F9"/>
    <w:rsid w:val="008053FE"/>
    <w:rsid w:val="008126AA"/>
    <w:rsid w:val="00816C61"/>
    <w:rsid w:val="008319EB"/>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A15CE"/>
    <w:rsid w:val="009B5401"/>
    <w:rsid w:val="009C03FC"/>
    <w:rsid w:val="009C0E1E"/>
    <w:rsid w:val="009C69B1"/>
    <w:rsid w:val="009D50D6"/>
    <w:rsid w:val="009D7398"/>
    <w:rsid w:val="009F36A0"/>
    <w:rsid w:val="009F734E"/>
    <w:rsid w:val="00A04317"/>
    <w:rsid w:val="00A057A7"/>
    <w:rsid w:val="00A0724D"/>
    <w:rsid w:val="00A12F1C"/>
    <w:rsid w:val="00A13299"/>
    <w:rsid w:val="00A136B1"/>
    <w:rsid w:val="00A16EEB"/>
    <w:rsid w:val="00A412B3"/>
    <w:rsid w:val="00A47491"/>
    <w:rsid w:val="00A47B6D"/>
    <w:rsid w:val="00A57B12"/>
    <w:rsid w:val="00A643A0"/>
    <w:rsid w:val="00A733D8"/>
    <w:rsid w:val="00A73E21"/>
    <w:rsid w:val="00A93BF8"/>
    <w:rsid w:val="00A95120"/>
    <w:rsid w:val="00A95DE7"/>
    <w:rsid w:val="00A97284"/>
    <w:rsid w:val="00AA2713"/>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60F4"/>
    <w:rsid w:val="00D8329D"/>
    <w:rsid w:val="00D97D56"/>
    <w:rsid w:val="00DA4AFA"/>
    <w:rsid w:val="00DB0E96"/>
    <w:rsid w:val="00DC47D4"/>
    <w:rsid w:val="00DD7479"/>
    <w:rsid w:val="00DE4370"/>
    <w:rsid w:val="00DE61F7"/>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1AAE"/>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29</Pages>
  <Words>67305</Words>
  <Characters>38364</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65</cp:revision>
  <dcterms:created xsi:type="dcterms:W3CDTF">2025-08-07T12:05:00Z</dcterms:created>
  <dcterms:modified xsi:type="dcterms:W3CDTF">2026-04-08T13:09:00Z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