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0D0BE4" w:rsidRPr="00732400">
        <w:rPr>
          <w:bCs/>
          <w:sz w:val="22"/>
          <w:szCs w:val="22"/>
        </w:rPr>
        <w:t>8</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38A94077" w:rsidR="00EB3BAC" w:rsidRPr="00992323" w:rsidRDefault="007A542D"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MĖGINTUVĖLIS (SU KAMŠTELIU) SMEGENŲ SKYSČIO MĖGINIAMS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64BCFE5A" w:rsidR="00EB3BAC" w:rsidRPr="00F858D1" w:rsidRDefault="007A542D" w:rsidP="00EB3BAC">
            <w:pPr>
              <w:autoSpaceDE w:val="0"/>
              <w:autoSpaceDN w:val="0"/>
              <w:adjustRightInd w:val="0"/>
              <w:rPr>
                <w:sz w:val="22"/>
                <w:szCs w:val="22"/>
              </w:rPr>
            </w:pPr>
            <w:r>
              <w:rPr>
                <w:sz w:val="22"/>
                <w:szCs w:val="22"/>
              </w:rPr>
              <w:t>Onkologijos ir hematologijos klinikos vadybininkė administratorė Ilona Daukšaitė</w:t>
            </w:r>
            <w:r w:rsidR="001C3CC7" w:rsidRPr="00F858D1">
              <w:rPr>
                <w:sz w:val="22"/>
                <w:szCs w:val="22"/>
              </w:rPr>
              <w:t xml:space="preserve">, </w:t>
            </w:r>
            <w:r w:rsidR="00EB3BAC" w:rsidRPr="00F858D1">
              <w:rPr>
                <w:sz w:val="22"/>
                <w:szCs w:val="22"/>
              </w:rPr>
              <w:t xml:space="preserve"> tel</w:t>
            </w:r>
            <w:r w:rsidR="00F858D1" w:rsidRPr="00F858D1">
              <w:rPr>
                <w:sz w:val="22"/>
                <w:szCs w:val="22"/>
              </w:rPr>
              <w:t>. +</w:t>
            </w:r>
            <w:r>
              <w:rPr>
                <w:sz w:val="22"/>
                <w:szCs w:val="22"/>
              </w:rPr>
              <w:t>37062848707</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7A542D">
              <w:rPr>
                <w:sz w:val="22"/>
                <w:szCs w:val="22"/>
              </w:rPr>
              <w:t xml:space="preserve"> </w:t>
            </w:r>
            <w:hyperlink r:id="rId12" w:history="1">
              <w:r w:rsidRPr="007A542D">
                <w:rPr>
                  <w:rStyle w:val="Hipersaitas"/>
                  <w:sz w:val="22"/>
                  <w:szCs w:val="22"/>
                </w:rPr>
                <w:t>ilona.dauksaite@kul.lt</w:t>
              </w:r>
            </w:hyperlink>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44158614"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7A542D">
              <w:rPr>
                <w:kern w:val="2"/>
                <w:sz w:val="22"/>
                <w:szCs w:val="22"/>
              </w:rPr>
              <w:t>prekes – mėgintuvėlius (su kamšteliu) smegenų skysčio mėginiams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CA1242D" w:rsidR="00EB3BAC" w:rsidRPr="00F858D1" w:rsidRDefault="007A542D" w:rsidP="004B2704">
            <w:pPr>
              <w:rPr>
                <w:rFonts w:eastAsia="TimesNewRomanPS-BoldMT"/>
                <w:sz w:val="22"/>
                <w:szCs w:val="22"/>
                <w14:ligatures w14:val="standardContextual"/>
              </w:rPr>
            </w:pPr>
            <w:r>
              <w:rPr>
                <w:rFonts w:eastAsia="TimesNewRomanPS-BoldMT"/>
                <w:sz w:val="22"/>
                <w:szCs w:val="22"/>
                <w14:ligatures w14:val="standardContextual"/>
              </w:rPr>
              <w:t>Mėgintuvėlis (su kamšteliu) smegenų skysčio mėginiams</w:t>
            </w:r>
            <w:r w:rsidR="00A820F1">
              <w:rPr>
                <w:rFonts w:eastAsia="TimesNewRomanPS-BoldMT"/>
                <w:sz w:val="22"/>
                <w:szCs w:val="22"/>
                <w14:ligatures w14:val="standardContextual"/>
              </w:rPr>
              <w:t>.</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6C71047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7A542D">
              <w:rPr>
                <w:kern w:val="2"/>
                <w:sz w:val="22"/>
                <w:szCs w:val="22"/>
              </w:rPr>
              <w:t>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7A542D">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7A542D"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85F94"/>
    <w:rsid w:val="007919E1"/>
    <w:rsid w:val="007A542D"/>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86691"/>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ona.dauksait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27</Pages>
  <Words>66119</Words>
  <Characters>37688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17</cp:revision>
  <dcterms:created xsi:type="dcterms:W3CDTF">2025-11-17T12:25:00Z</dcterms:created>
  <dcterms:modified xsi:type="dcterms:W3CDTF">2026-04-09T09:59:00Z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