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D7" w:rsidRPr="00D03519" w:rsidRDefault="00E07BD7" w:rsidP="003A452E">
      <w:pPr>
        <w:ind w:left="5760" w:firstLine="720"/>
        <w:rPr>
          <w:color w:val="000000"/>
          <w:lang w:eastAsia="en-US"/>
        </w:rPr>
      </w:pPr>
      <w:r w:rsidRPr="00D03519">
        <w:rPr>
          <w:color w:val="000000"/>
          <w:lang w:eastAsia="en-US"/>
        </w:rPr>
        <w:t xml:space="preserve">    </w:t>
      </w:r>
    </w:p>
    <w:p w:rsidR="00E07BD7" w:rsidRDefault="00E07BD7" w:rsidP="00E07BD7">
      <w:pPr>
        <w:jc w:val="both"/>
        <w:rPr>
          <w:i/>
          <w:sz w:val="20"/>
          <w:szCs w:val="20"/>
        </w:rPr>
      </w:pPr>
    </w:p>
    <w:p w:rsidR="00E07BD7" w:rsidRDefault="00E07BD7" w:rsidP="0013714B">
      <w:pPr>
        <w:ind w:left="3600"/>
        <w:jc w:val="both"/>
        <w:rPr>
          <w:i/>
          <w:sz w:val="20"/>
          <w:szCs w:val="20"/>
        </w:rPr>
      </w:pPr>
    </w:p>
    <w:p w:rsidR="00D14114" w:rsidRDefault="00D14114" w:rsidP="00D14114">
      <w:pPr>
        <w:jc w:val="center"/>
        <w:rPr>
          <w:b/>
        </w:rPr>
      </w:pPr>
      <w:r>
        <w:rPr>
          <w:b/>
        </w:rPr>
        <w:t>PASLAUGŲ VIEŠOJO PIRKIMO-PARDAVIMO SUTARTI</w:t>
      </w:r>
      <w:r w:rsidRPr="00EF7207">
        <w:rPr>
          <w:b/>
        </w:rPr>
        <w:t>S</w:t>
      </w:r>
      <w:r>
        <w:rPr>
          <w:b/>
        </w:rPr>
        <w:t xml:space="preserve"> </w:t>
      </w:r>
    </w:p>
    <w:p w:rsidR="00D14114" w:rsidRPr="00414F4A" w:rsidRDefault="00D14114" w:rsidP="00D14114">
      <w:pPr>
        <w:rPr>
          <w:sz w:val="22"/>
          <w:szCs w:val="22"/>
        </w:rPr>
      </w:pPr>
    </w:p>
    <w:p w:rsidR="00D14114" w:rsidRDefault="00D14114" w:rsidP="00D14114">
      <w:pPr>
        <w:ind w:left="2880" w:firstLine="720"/>
        <w:jc w:val="both"/>
      </w:pPr>
      <w:r>
        <w:t>20............................ Nr.</w:t>
      </w:r>
    </w:p>
    <w:p w:rsidR="00D14114" w:rsidRDefault="00D14114" w:rsidP="00D14114">
      <w:pPr>
        <w:ind w:left="3600"/>
        <w:jc w:val="both"/>
        <w:rPr>
          <w:i/>
        </w:rPr>
      </w:pPr>
      <w:r>
        <w:rPr>
          <w:sz w:val="22"/>
          <w:szCs w:val="22"/>
        </w:rPr>
        <w:t xml:space="preserve">         </w:t>
      </w:r>
      <w:r>
        <w:rPr>
          <w:i/>
        </w:rPr>
        <w:t>(sudarymo vieta)</w:t>
      </w:r>
    </w:p>
    <w:p w:rsidR="004A519D" w:rsidRDefault="004A519D" w:rsidP="004A519D">
      <w:pPr>
        <w:jc w:val="center"/>
        <w:rPr>
          <w:color w:val="000000"/>
        </w:rPr>
      </w:pPr>
    </w:p>
    <w:p w:rsidR="004A519D" w:rsidRPr="00052638" w:rsidRDefault="004A519D" w:rsidP="004A519D">
      <w:pPr>
        <w:jc w:val="center"/>
        <w:rPr>
          <w:b/>
          <w:color w:val="000000"/>
        </w:rPr>
      </w:pPr>
      <w:r>
        <w:rPr>
          <w:b/>
        </w:rPr>
        <w:t xml:space="preserve">I. </w:t>
      </w:r>
      <w:r w:rsidRPr="00052638">
        <w:rPr>
          <w:b/>
          <w:color w:val="000000"/>
        </w:rPr>
        <w:t>SPECIALIOJI DALIS</w:t>
      </w:r>
    </w:p>
    <w:p w:rsidR="00D14114" w:rsidRDefault="00D14114" w:rsidP="00D14114">
      <w:pPr>
        <w:ind w:left="3600"/>
        <w:jc w:val="both"/>
        <w:rPr>
          <w:i/>
          <w:sz w:val="20"/>
          <w:szCs w:val="20"/>
        </w:rPr>
      </w:pPr>
    </w:p>
    <w:p w:rsidR="00D14114" w:rsidRPr="009D139A" w:rsidRDefault="003A452E" w:rsidP="00D14114">
      <w:pPr>
        <w:jc w:val="both"/>
        <w:rPr>
          <w:color w:val="000000"/>
        </w:rPr>
      </w:pPr>
      <w:r w:rsidRPr="003A452E">
        <w:rPr>
          <w:color w:val="000000"/>
        </w:rPr>
        <w:t>Lietuvos kariuomenės Kibernetinės gynybos valdybos Informacinių technologijų tarnyba</w:t>
      </w:r>
      <w:r w:rsidR="00D14114" w:rsidRPr="009D139A">
        <w:rPr>
          <w:color w:val="000000"/>
        </w:rPr>
        <w:t xml:space="preserve">, atstovaujama </w:t>
      </w:r>
      <w:r w:rsidR="00D14114" w:rsidRPr="009D139A">
        <w:rPr>
          <w:i/>
          <w:color w:val="000000"/>
        </w:rPr>
        <w:t>(padalinys, pareigos, vardas, pavardė)</w:t>
      </w:r>
      <w:r w:rsidR="00D14114" w:rsidRPr="009D139A">
        <w:rPr>
          <w:color w:val="000000"/>
        </w:rPr>
        <w:t>, veikiančio (-</w:t>
      </w:r>
      <w:proofErr w:type="spellStart"/>
      <w:r w:rsidR="00D14114" w:rsidRPr="009D139A">
        <w:rPr>
          <w:color w:val="000000"/>
        </w:rPr>
        <w:t>ios</w:t>
      </w:r>
      <w:proofErr w:type="spellEnd"/>
      <w:r w:rsidR="00D14114" w:rsidRPr="009D139A">
        <w:rPr>
          <w:color w:val="000000"/>
        </w:rPr>
        <w:t xml:space="preserve">) pagal </w:t>
      </w:r>
      <w:r w:rsidR="00D14114" w:rsidRPr="009D139A">
        <w:rPr>
          <w:i/>
          <w:color w:val="000000"/>
        </w:rPr>
        <w:t>(dokumentas, kurio pagrindu veikia asmuo)</w:t>
      </w:r>
      <w:r w:rsidR="00D14114" w:rsidRPr="009D139A">
        <w:rPr>
          <w:color w:val="000000"/>
        </w:rPr>
        <w:t xml:space="preserve"> (toliau – </w:t>
      </w:r>
      <w:r w:rsidR="00D14114" w:rsidRPr="009D139A">
        <w:rPr>
          <w:b/>
          <w:color w:val="000000"/>
        </w:rPr>
        <w:t>Pirkėjas</w:t>
      </w:r>
      <w:r w:rsidR="00D14114" w:rsidRPr="009D139A">
        <w:rPr>
          <w:color w:val="000000"/>
        </w:rPr>
        <w:t>), ir</w:t>
      </w:r>
    </w:p>
    <w:p w:rsidR="00D14114" w:rsidRPr="009D139A" w:rsidRDefault="00D14114" w:rsidP="00D14114">
      <w:pPr>
        <w:jc w:val="both"/>
        <w:rPr>
          <w:color w:val="000000"/>
        </w:rPr>
      </w:pPr>
      <w:r w:rsidRPr="009D139A">
        <w:rPr>
          <w:i/>
          <w:color w:val="000000"/>
        </w:rPr>
        <w:t>(teikėjas)</w:t>
      </w:r>
      <w:r w:rsidRPr="009D139A">
        <w:rPr>
          <w:color w:val="000000"/>
        </w:rPr>
        <w:t xml:space="preserve">, atstovaujama </w:t>
      </w:r>
      <w:r w:rsidRPr="009D139A">
        <w:rPr>
          <w:i/>
          <w:color w:val="000000"/>
        </w:rPr>
        <w:t>(pareigos, vardas, pavardė)</w:t>
      </w:r>
      <w:r w:rsidRPr="009D139A">
        <w:rPr>
          <w:color w:val="000000"/>
        </w:rPr>
        <w:t>, veikiančio (-</w:t>
      </w:r>
      <w:proofErr w:type="spellStart"/>
      <w:r w:rsidRPr="009D139A">
        <w:rPr>
          <w:color w:val="000000"/>
        </w:rPr>
        <w:t>ios</w:t>
      </w:r>
      <w:proofErr w:type="spellEnd"/>
      <w:r w:rsidRPr="009D139A">
        <w:rPr>
          <w:color w:val="000000"/>
        </w:rPr>
        <w:t xml:space="preserve">) pagal </w:t>
      </w:r>
      <w:r w:rsidRPr="009D139A">
        <w:rPr>
          <w:i/>
          <w:color w:val="000000"/>
        </w:rPr>
        <w:t>(dokumentas, kurio pagrindu veikia asmuo)</w:t>
      </w:r>
      <w:r w:rsidRPr="009D139A">
        <w:rPr>
          <w:color w:val="000000"/>
        </w:rPr>
        <w:t xml:space="preserve"> (toliau – </w:t>
      </w:r>
      <w:r w:rsidRPr="009D139A">
        <w:rPr>
          <w:b/>
          <w:color w:val="000000"/>
        </w:rPr>
        <w:t>Teikėjas</w:t>
      </w:r>
      <w:r w:rsidRPr="009D139A">
        <w:rPr>
          <w:color w:val="000000"/>
        </w:rPr>
        <w:t xml:space="preserve">), </w:t>
      </w:r>
      <w:r w:rsidRPr="009D139A">
        <w:rPr>
          <w:i/>
          <w:color w:val="000000"/>
        </w:rPr>
        <w:t>(jei tai ūkio subjektų grupė –atitinkami duomenys apie kiekvieną partnerį)</w:t>
      </w:r>
    </w:p>
    <w:p w:rsidR="00D14114" w:rsidRPr="009D139A" w:rsidRDefault="00D14114" w:rsidP="00D14114">
      <w:pPr>
        <w:jc w:val="both"/>
        <w:rPr>
          <w:color w:val="000000"/>
        </w:rPr>
      </w:pPr>
      <w:r w:rsidRPr="009D139A">
        <w:rPr>
          <w:color w:val="000000"/>
        </w:rPr>
        <w:t xml:space="preserve">toliau kartu šioje paslaugų </w:t>
      </w:r>
      <w:r w:rsidR="000425D4">
        <w:rPr>
          <w:color w:val="000000"/>
        </w:rPr>
        <w:t xml:space="preserve">viešojo </w:t>
      </w:r>
      <w:r w:rsidRPr="009D139A">
        <w:rPr>
          <w:color w:val="000000"/>
        </w:rPr>
        <w:t xml:space="preserve">pirkimo-pardavimo sutartyje vadinami „Šalimis“, o kiekvienas atskirai – „Šalimi“, vadovaudamosi </w:t>
      </w:r>
      <w:r w:rsidRPr="009D139A">
        <w:rPr>
          <w:i/>
          <w:color w:val="000000"/>
        </w:rPr>
        <w:t>Lietuvos Respublikos viešųjų pirkimų įstatym</w:t>
      </w:r>
      <w:r w:rsidR="000D3D2E" w:rsidRPr="009D139A">
        <w:rPr>
          <w:i/>
          <w:color w:val="000000"/>
        </w:rPr>
        <w:t>u</w:t>
      </w:r>
      <w:r w:rsidR="00094C8C">
        <w:rPr>
          <w:i/>
          <w:color w:val="000000"/>
        </w:rPr>
        <w:t xml:space="preserve"> </w:t>
      </w:r>
      <w:r w:rsidR="00094C8C" w:rsidRPr="006725F2">
        <w:rPr>
          <w:color w:val="000000"/>
        </w:rPr>
        <w:t>(toliau – Viešųjų pirkimų įstatymas)</w:t>
      </w:r>
      <w:r w:rsidRPr="009D139A">
        <w:rPr>
          <w:i/>
          <w:color w:val="000000"/>
        </w:rPr>
        <w:t xml:space="preserve"> </w:t>
      </w:r>
      <w:r w:rsidRPr="009D139A">
        <w:rPr>
          <w:color w:val="000000"/>
        </w:rPr>
        <w:t xml:space="preserve">sudarė šią paslaugų </w:t>
      </w:r>
      <w:r w:rsidR="000425D4">
        <w:rPr>
          <w:color w:val="000000"/>
        </w:rPr>
        <w:t xml:space="preserve">viešojo </w:t>
      </w:r>
      <w:r w:rsidRPr="009D139A">
        <w:rPr>
          <w:color w:val="000000"/>
        </w:rPr>
        <w:t>pirkimo-pardavimo sutartį, toliau vadinamą „Sutartimi“, ir susitarė dėl toliau išvardintų sąlygų.</w:t>
      </w:r>
    </w:p>
    <w:p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rsidTr="001A3760">
        <w:tc>
          <w:tcPr>
            <w:tcW w:w="10368" w:type="dxa"/>
            <w:shd w:val="clear" w:color="auto" w:fill="auto"/>
          </w:tcPr>
          <w:p w:rsidR="00D14114" w:rsidRPr="007A4D14" w:rsidRDefault="00D14114" w:rsidP="007C1859">
            <w:pPr>
              <w:numPr>
                <w:ilvl w:val="0"/>
                <w:numId w:val="3"/>
              </w:numPr>
              <w:ind w:left="252" w:hanging="252"/>
              <w:jc w:val="both"/>
              <w:rPr>
                <w:b/>
              </w:rPr>
            </w:pPr>
            <w:r w:rsidRPr="007A4D14">
              <w:rPr>
                <w:b/>
              </w:rPr>
              <w:t>Sutarties objektas</w:t>
            </w:r>
          </w:p>
          <w:p w:rsidR="00D14114" w:rsidRDefault="000D3D2E" w:rsidP="007C1859">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2F501E" w:rsidRPr="002F501E">
              <w:t xml:space="preserve">Kvalifikuotų elektroninių laiko žymų </w:t>
            </w:r>
            <w:r w:rsidR="00D14114" w:rsidRPr="002728C6">
              <w:t xml:space="preserve">paslaugas (toliau – </w:t>
            </w:r>
            <w:r w:rsidR="00736323">
              <w:t>p</w:t>
            </w:r>
            <w:r w:rsidR="00D14114" w:rsidRPr="002728C6">
              <w:t>aslaugos), atitinkančias Sutarties</w:t>
            </w:r>
            <w:r w:rsidR="003A452E">
              <w:t xml:space="preserve"> 2</w:t>
            </w:r>
            <w:r w:rsidR="00D14114" w:rsidRPr="002728C6">
              <w:t xml:space="preserve"> priede „</w:t>
            </w:r>
            <w:r w:rsidR="003A452E">
              <w:t xml:space="preserve">Kvalifikuotų elektroninių laiko žymų </w:t>
            </w:r>
            <w:r w:rsidR="00D14114" w:rsidRPr="002728C6">
              <w:t>paslaugų techninės specifikacij</w:t>
            </w:r>
            <w:r w:rsidR="003A452E">
              <w:t>a</w:t>
            </w:r>
            <w:r w:rsidR="00D14114" w:rsidRPr="002728C6">
              <w:t>“ (toliau –</w:t>
            </w:r>
            <w:r w:rsidR="003A452E">
              <w:t xml:space="preserve"> 2</w:t>
            </w:r>
            <w:r w:rsidR="00D14114" w:rsidRPr="002728C6">
              <w:t xml:space="preserve"> priedas) nustatytus reikalavimus.</w:t>
            </w:r>
          </w:p>
          <w:p w:rsidR="00D14114" w:rsidRPr="002728C6" w:rsidRDefault="000D3D2E" w:rsidP="003A452E">
            <w:pPr>
              <w:jc w:val="both"/>
            </w:pPr>
            <w:r>
              <w:t xml:space="preserve">1.2. </w:t>
            </w:r>
            <w:r w:rsidRPr="007C1859">
              <w:rPr>
                <w:b/>
              </w:rPr>
              <w:t>Pirkėjas</w:t>
            </w:r>
            <w:r w:rsidR="007C1859">
              <w:rPr>
                <w:b/>
              </w:rPr>
              <w:t>/Mokėtojas</w:t>
            </w:r>
            <w:r>
              <w:t xml:space="preserve"> įsipareigoja priimti Sutarties </w:t>
            </w:r>
            <w:r w:rsidR="003A452E">
              <w:t xml:space="preserve">2 </w:t>
            </w:r>
            <w:r>
              <w:t>priede pateiktas Sutarties reikalavimus atitinkančias paslaugas</w:t>
            </w:r>
            <w:r w:rsidR="000247A9">
              <w:t>.</w:t>
            </w:r>
            <w:r>
              <w:t xml:space="preserve"> </w:t>
            </w:r>
            <w:r w:rsidR="00736323" w:rsidRPr="00311F94">
              <w:rPr>
                <w:b/>
              </w:rPr>
              <w:t>Mokėtojas</w:t>
            </w:r>
            <w:r w:rsidR="00736323">
              <w:t xml:space="preserve"> už p</w:t>
            </w:r>
            <w:r w:rsidR="003A452E">
              <w:t>aslaugas</w:t>
            </w:r>
            <w:r w:rsidR="00736323">
              <w:t xml:space="preserve"> sumoka Sutarties nustatyta tvarka.</w:t>
            </w:r>
          </w:p>
        </w:tc>
      </w:tr>
      <w:tr w:rsidR="002F501E" w:rsidTr="001A3760">
        <w:tc>
          <w:tcPr>
            <w:tcW w:w="10368" w:type="dxa"/>
            <w:shd w:val="clear" w:color="auto" w:fill="auto"/>
          </w:tcPr>
          <w:p w:rsidR="002F501E" w:rsidRDefault="002F501E" w:rsidP="002F501E">
            <w:pPr>
              <w:ind w:right="-15"/>
              <w:jc w:val="both"/>
              <w:rPr>
                <w:b/>
                <w:color w:val="000000"/>
              </w:rPr>
            </w:pPr>
            <w:r w:rsidRPr="007A4D14">
              <w:rPr>
                <w:b/>
              </w:rPr>
              <w:t xml:space="preserve">2. </w:t>
            </w:r>
            <w:r w:rsidRPr="007A4D14">
              <w:rPr>
                <w:b/>
                <w:color w:val="000000"/>
              </w:rPr>
              <w:t>Sutarties kaina/</w:t>
            </w:r>
            <w:r>
              <w:rPr>
                <w:b/>
                <w:color w:val="000000"/>
              </w:rPr>
              <w:t>vertė/</w:t>
            </w:r>
            <w:r w:rsidRPr="007A4D14">
              <w:rPr>
                <w:b/>
              </w:rPr>
              <w:t xml:space="preserve">paslaugų </w:t>
            </w:r>
            <w:r w:rsidRPr="007A4D14">
              <w:rPr>
                <w:b/>
                <w:color w:val="000000"/>
              </w:rPr>
              <w:t>įkainiai/kainodaros taisyklės</w:t>
            </w:r>
          </w:p>
          <w:p w:rsidR="002F501E" w:rsidRDefault="002F501E" w:rsidP="002F501E">
            <w:pPr>
              <w:ind w:right="-15"/>
              <w:jc w:val="both"/>
            </w:pPr>
            <w:r w:rsidRPr="004C1DC9">
              <w:t xml:space="preserve">2.1. </w:t>
            </w:r>
            <w:r>
              <w:t>Sutarties maksimali kaina-</w:t>
            </w:r>
          </w:p>
          <w:p w:rsidR="002F501E" w:rsidRDefault="002F501E" w:rsidP="002F501E">
            <w:pPr>
              <w:ind w:right="-15"/>
              <w:jc w:val="both"/>
            </w:pPr>
            <w:r>
              <w:t xml:space="preserve">2.2. Sutarčiai taikoma  fiksuoto įkainio kainodara. </w:t>
            </w:r>
            <w:r w:rsidRPr="00737256">
              <w:t>P</w:t>
            </w:r>
            <w:r>
              <w:t>aslaugų</w:t>
            </w:r>
            <w:r w:rsidRPr="00737256">
              <w:t xml:space="preserve"> įkainiai nurodyti Sutarties 1 priede</w:t>
            </w:r>
            <w:r>
              <w:t xml:space="preserve"> „Kvalifikuotų elektroninių laiko žymų paslaugų įkainiai“ (toliau – 1 priedas).</w:t>
            </w:r>
          </w:p>
          <w:p w:rsidR="002F501E" w:rsidRDefault="002F501E" w:rsidP="002F501E">
            <w:pPr>
              <w:ind w:right="-15"/>
              <w:jc w:val="both"/>
            </w:pPr>
            <w:r>
              <w:t>2.3. Sutarties kaina (įkainiai) peržiūrimi Sutarties bendrosios dalies 2.2 punkte ir Sutarties specialiosios dalies 2.4 punkte nustatyta tvarka ir sąlygomis.</w:t>
            </w:r>
          </w:p>
          <w:p w:rsidR="002F501E" w:rsidRDefault="002F501E" w:rsidP="002F501E">
            <w:pPr>
              <w:ind w:right="-15"/>
              <w:jc w:val="both"/>
            </w:pPr>
            <w:r>
              <w:t>2.4.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Sutarties specialiosios dalies 2.4.3.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2F501E" w:rsidRDefault="002F501E" w:rsidP="002F501E">
            <w:pPr>
              <w:ind w:right="-15"/>
              <w:jc w:val="both"/>
            </w:pPr>
            <w:r>
              <w:t>2.4.1. Šalys privalo Susitarime nurodyti indekso reikšmę laikotarpio pradžioje ir jos nustatymo datą, indekso reikšmę laikotarpio pabaigoje ir jos nustatymo datą, kainų pokytį (k), perskaičiuotus įkainius, perskaičiuotą pradinės sutarties vertę.</w:t>
            </w:r>
          </w:p>
          <w:p w:rsidR="002F501E" w:rsidRDefault="002F501E" w:rsidP="002F501E">
            <w:pPr>
              <w:ind w:right="-15"/>
              <w:jc w:val="both"/>
            </w:pPr>
            <w:r>
              <w:t>2.4.2. Perskaičiuotieji įkainiai taikomi užsakymams, pateiktiems po to, kai Šalys sudaro susitarimą dėl įkainių perskaičiavimo.</w:t>
            </w:r>
          </w:p>
          <w:p w:rsidR="002F501E" w:rsidRDefault="002F501E" w:rsidP="002F501E">
            <w:pPr>
              <w:ind w:right="-15"/>
              <w:jc w:val="both"/>
            </w:pPr>
            <w:r>
              <w:t>2.4.3. Nauji įkainiai apskaičiuojami pagal formulę:</w:t>
            </w:r>
          </w:p>
          <w:p w:rsidR="002F501E" w:rsidRPr="00737256" w:rsidRDefault="00AC6A9C" w:rsidP="002F501E">
            <w:pPr>
              <w:ind w:right="-15"/>
              <w:jc w:val="both"/>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2F501E" w:rsidRPr="00737256">
              <w:rPr>
                <w:b/>
                <w:i/>
              </w:rPr>
              <w:t xml:space="preserve">, </w:t>
            </w:r>
            <w:r w:rsidR="002F501E" w:rsidRPr="00737256">
              <w:t>kur</w:t>
            </w:r>
          </w:p>
          <w:p w:rsidR="002F501E" w:rsidRPr="00737256" w:rsidRDefault="002F501E" w:rsidP="002F501E">
            <w:pPr>
              <w:ind w:right="-15"/>
              <w:jc w:val="both"/>
              <w:rPr>
                <w:i/>
              </w:rPr>
            </w:pPr>
          </w:p>
          <w:p w:rsidR="002F501E" w:rsidRPr="00737256" w:rsidRDefault="002F501E" w:rsidP="002F501E">
            <w:pPr>
              <w:ind w:right="-15"/>
              <w:jc w:val="both"/>
            </w:pPr>
            <w:r w:rsidRPr="00737256">
              <w:t>a – įkainis (</w:t>
            </w:r>
            <w:proofErr w:type="spellStart"/>
            <w:r w:rsidRPr="00737256">
              <w:t>Eur</w:t>
            </w:r>
            <w:proofErr w:type="spellEnd"/>
            <w:r w:rsidRPr="00737256">
              <w:t xml:space="preserve"> be PVM)) (jei jis jau buvo perskaičiuotas, tai po paskutinio perskaičiavimo);</w:t>
            </w:r>
          </w:p>
          <w:p w:rsidR="002F501E" w:rsidRPr="00737256" w:rsidRDefault="002F501E" w:rsidP="002F501E">
            <w:pPr>
              <w:ind w:right="-15"/>
              <w:jc w:val="both"/>
            </w:pPr>
            <w:r w:rsidRPr="00737256">
              <w:t>a</w:t>
            </w:r>
            <w:r w:rsidRPr="00737256">
              <w:rPr>
                <w:vertAlign w:val="subscript"/>
              </w:rPr>
              <w:t>1</w:t>
            </w:r>
            <w:r w:rsidRPr="00737256">
              <w:t xml:space="preserve"> – perskaičiuotas (pakeistas) įkainis (</w:t>
            </w:r>
            <w:proofErr w:type="spellStart"/>
            <w:r w:rsidRPr="00737256">
              <w:t>Eur</w:t>
            </w:r>
            <w:proofErr w:type="spellEnd"/>
            <w:r w:rsidRPr="00737256">
              <w:t xml:space="preserve"> be PVM);</w:t>
            </w:r>
          </w:p>
          <w:p w:rsidR="002F501E" w:rsidRPr="00737256" w:rsidRDefault="002F501E" w:rsidP="002F501E">
            <w:pPr>
              <w:ind w:right="-15"/>
              <w:jc w:val="both"/>
            </w:pPr>
            <w:r w:rsidRPr="00737256">
              <w:t xml:space="preserve">k – Pagal vartotojų kainų indeksą apskaičiuotas Vartojimo prekių ir paslaugų  kainų pokytis (padidėjimas arba sumažėjimas) (%). „k“ reikšmė skaičiuojama pagal formulę: </w:t>
            </w:r>
          </w:p>
          <w:p w:rsidR="002F501E" w:rsidRPr="00737256" w:rsidRDefault="002F501E" w:rsidP="002F501E">
            <w:pPr>
              <w:ind w:right="-15"/>
              <w:jc w:val="both"/>
            </w:pPr>
          </w:p>
          <w:p w:rsidR="002F501E" w:rsidRPr="00737256" w:rsidRDefault="002F501E" w:rsidP="002F501E">
            <w:pPr>
              <w:ind w:right="-15"/>
              <w:jc w:val="both"/>
            </w:pPr>
            <w:r w:rsidRPr="00737256">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737256">
              <w:t>, (proc.) kur</w:t>
            </w:r>
          </w:p>
          <w:p w:rsidR="002F501E" w:rsidRPr="00737256" w:rsidRDefault="002F501E" w:rsidP="002F501E">
            <w:pPr>
              <w:ind w:right="-15"/>
              <w:jc w:val="both"/>
            </w:pPr>
            <w:r w:rsidRPr="00737256">
              <w:tab/>
            </w:r>
          </w:p>
          <w:p w:rsidR="002F501E" w:rsidRPr="00737256" w:rsidRDefault="002F501E" w:rsidP="002F501E">
            <w:pPr>
              <w:ind w:right="-15"/>
              <w:jc w:val="both"/>
            </w:pPr>
            <w:proofErr w:type="spellStart"/>
            <w:r w:rsidRPr="00737256">
              <w:t>Ind</w:t>
            </w:r>
            <w:r w:rsidRPr="00737256">
              <w:rPr>
                <w:vertAlign w:val="subscript"/>
              </w:rPr>
              <w:t>naujausias</w:t>
            </w:r>
            <w:proofErr w:type="spellEnd"/>
            <w:r w:rsidRPr="00737256">
              <w:t xml:space="preserve"> – kreipimosi dėl kainos perskaičiavimo išsiuntimo kitai šaliai datą naujausias paskelbtas vartojimo prekių ir paslaugų indeksas </w:t>
            </w:r>
            <w:r w:rsidRPr="00737256">
              <w:rPr>
                <w:i/>
                <w:iCs/>
              </w:rPr>
              <w:t>„Vartojimo prekės ir paslaugos“</w:t>
            </w:r>
            <w:r w:rsidRPr="00737256">
              <w:t>;</w:t>
            </w:r>
          </w:p>
          <w:p w:rsidR="002F501E" w:rsidRPr="00737256" w:rsidRDefault="002F501E" w:rsidP="002F501E">
            <w:pPr>
              <w:ind w:right="-15"/>
              <w:jc w:val="both"/>
            </w:pPr>
            <w:proofErr w:type="spellStart"/>
            <w:r w:rsidRPr="00737256">
              <w:t>Ind</w:t>
            </w:r>
            <w:r w:rsidRPr="00737256">
              <w:rPr>
                <w:vertAlign w:val="subscript"/>
              </w:rPr>
              <w:t>pradžia</w:t>
            </w:r>
            <w:proofErr w:type="spellEnd"/>
            <w:r w:rsidRPr="00737256">
              <w:t xml:space="preserve"> – laikotarpio pradžios datos (mėnesio) vartojimo prekių ir paslaugų indeksas </w:t>
            </w:r>
            <w:r w:rsidRPr="00737256">
              <w:rPr>
                <w:i/>
                <w:iCs/>
              </w:rPr>
              <w:t>„Vartojimo prekės ir paslaugos“</w:t>
            </w:r>
            <w:r w:rsidRPr="00737256">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2F501E" w:rsidRPr="00737256" w:rsidRDefault="002F501E" w:rsidP="002F501E">
            <w:pPr>
              <w:ind w:right="-15"/>
              <w:jc w:val="both"/>
            </w:pPr>
            <w:r w:rsidRPr="00737256">
              <w:t>2.</w:t>
            </w:r>
            <w:r>
              <w:t>4</w:t>
            </w:r>
            <w:r w:rsidRPr="00737256">
              <w:t xml:space="preserve">.4. Skaičiavimams indeksų reikšmės imamos </w:t>
            </w:r>
            <w:r w:rsidRPr="00737256">
              <w:rPr>
                <w:bCs/>
              </w:rPr>
              <w:t>keturių</w:t>
            </w:r>
            <w:r w:rsidRPr="00737256">
              <w:t xml:space="preserve"> skaitmenų po kablelio tikslumu. Apskaičiuotas pokytis (k) tolimesniems skaičiavimams naudojamas suapvalinus iki </w:t>
            </w:r>
            <w:r w:rsidRPr="00737256">
              <w:rPr>
                <w:bCs/>
              </w:rPr>
              <w:t>vieno</w:t>
            </w:r>
            <w:r w:rsidRPr="00737256">
              <w:t xml:space="preserve"> skaitmens po kablelio, o apskaičiuotas įkainis „a“ suapvalinamas iki </w:t>
            </w:r>
            <w:r w:rsidRPr="00737256">
              <w:rPr>
                <w:bCs/>
              </w:rPr>
              <w:t xml:space="preserve">dviejų </w:t>
            </w:r>
            <w:r w:rsidRPr="00737256">
              <w:t xml:space="preserve">skaitmenų po kablelio; </w:t>
            </w:r>
          </w:p>
          <w:p w:rsidR="002F501E" w:rsidRPr="00737256" w:rsidRDefault="002F501E" w:rsidP="002F501E">
            <w:pPr>
              <w:ind w:right="-15"/>
              <w:jc w:val="both"/>
            </w:pPr>
            <w:r w:rsidRPr="00737256">
              <w:t>2.</w:t>
            </w:r>
            <w:r>
              <w:t>4</w:t>
            </w:r>
            <w:r w:rsidRPr="00737256">
              <w:t xml:space="preserve">.5. Vėlesnis kainų arba įkainių perskaičiavimas negali apimti laikotarpio, už kurį jau buvo atliktas perskaičiavimas. </w:t>
            </w:r>
          </w:p>
          <w:p w:rsidR="002F501E" w:rsidRPr="00737256" w:rsidRDefault="002F501E" w:rsidP="002F501E">
            <w:pPr>
              <w:ind w:right="-15"/>
              <w:jc w:val="both"/>
            </w:pPr>
            <w:r w:rsidRPr="00737256">
              <w:t>2.</w:t>
            </w:r>
            <w:r>
              <w:t>4</w:t>
            </w:r>
            <w:r w:rsidRPr="00737256">
              <w:t xml:space="preserve">.6. Jeigu pagal vartotojų kainų indeksą apskaičiuotas Vartojimo prekių ir paslaugų kainų pokytis (k), </w:t>
            </w:r>
            <w:r>
              <w:t>apskaičiuotas kaip nustatyta 2.4</w:t>
            </w:r>
            <w:r w:rsidRPr="00737256">
              <w:t>.3 punkte, viršija 50 procentų nuo pradinio sutarties įkainio sutarties pasirašymo dieną, paslaugų įkainiai bus perskaičiuojami maksimaliu 50 procentų pokyčiu.</w:t>
            </w:r>
          </w:p>
          <w:p w:rsidR="002F501E" w:rsidRDefault="002F501E" w:rsidP="002F501E">
            <w:pPr>
              <w:ind w:right="-15"/>
              <w:jc w:val="both"/>
            </w:pPr>
            <w:r w:rsidRPr="00737256">
              <w:t>2.</w:t>
            </w:r>
            <w:r>
              <w:t>5</w:t>
            </w:r>
            <w:r w:rsidRPr="00737256">
              <w:t>. Jei Sutarties įkainiai buvo peržiūrėti pagal Sutartyje nurodytas kainų peržiūros sąlygas, atitinkamai patikslinama (didėja arba mažėja) Sutarties maksimali kaina.</w:t>
            </w:r>
          </w:p>
          <w:p w:rsidR="002F501E" w:rsidRPr="00737256" w:rsidRDefault="002F501E" w:rsidP="002F501E">
            <w:pPr>
              <w:ind w:right="-15"/>
              <w:jc w:val="both"/>
            </w:pPr>
            <w:r w:rsidRPr="009614F0">
              <w:t>2.6. Pirkėjas neįsipareigoja nupirkti Paslaugų už Sutarties specialiosios dalies 2.1 punkte nurodytą Sutarties maksimalią kainą. Sutarties 1 priede nurodyti preliminarūs kiekiai ir jie Sutarties galiojimo laikotarpiu bus perkami tik pagal Pirkėjo poreikį, teikiant užsakymus ir neviršijant Sutarties  maksimalios kainos.</w:t>
            </w:r>
          </w:p>
          <w:p w:rsidR="002F501E" w:rsidRPr="007A4D14" w:rsidRDefault="002F501E" w:rsidP="002F501E">
            <w:pPr>
              <w:ind w:right="-15"/>
              <w:jc w:val="both"/>
              <w:rPr>
                <w:b/>
              </w:rPr>
            </w:pPr>
          </w:p>
        </w:tc>
      </w:tr>
      <w:tr w:rsidR="00534E56" w:rsidTr="001A3760">
        <w:tc>
          <w:tcPr>
            <w:tcW w:w="10368" w:type="dxa"/>
            <w:shd w:val="clear" w:color="auto" w:fill="auto"/>
          </w:tcPr>
          <w:p w:rsidR="00534E56" w:rsidRDefault="00534E56" w:rsidP="00534E56">
            <w:pPr>
              <w:ind w:right="-15"/>
              <w:jc w:val="both"/>
              <w:rPr>
                <w:b/>
              </w:rPr>
            </w:pPr>
            <w:r w:rsidRPr="007A4D14">
              <w:rPr>
                <w:b/>
              </w:rPr>
              <w:lastRenderedPageBreak/>
              <w:t xml:space="preserve">3. Paslaugų teikimo vieta, terminas ir sąlygos </w:t>
            </w:r>
          </w:p>
          <w:p w:rsidR="00534E56" w:rsidRPr="004F4510" w:rsidRDefault="00534E56" w:rsidP="00534E56">
            <w:pPr>
              <w:ind w:right="-15"/>
              <w:jc w:val="both"/>
              <w:rPr>
                <w:color w:val="000000"/>
                <w:lang w:val="en-US" w:eastAsia="en-US"/>
              </w:rPr>
            </w:pPr>
            <w:r>
              <w:rPr>
                <w:color w:val="000000"/>
                <w:lang w:eastAsia="en-US"/>
              </w:rPr>
              <w:t xml:space="preserve">3.1. </w:t>
            </w:r>
            <w:r w:rsidRPr="00BF6668">
              <w:rPr>
                <w:color w:val="000000"/>
                <w:lang w:eastAsia="en-US"/>
              </w:rPr>
              <w:t xml:space="preserve">Paslaugų teikimo trukmė: kol bus išduota </w:t>
            </w:r>
            <w:r>
              <w:rPr>
                <w:color w:val="000000"/>
                <w:lang w:eastAsia="en-US"/>
              </w:rPr>
              <w:t>3 0</w:t>
            </w:r>
            <w:r w:rsidRPr="00BF6668">
              <w:rPr>
                <w:color w:val="000000"/>
                <w:lang w:eastAsia="en-US"/>
              </w:rPr>
              <w:t xml:space="preserve">00 </w:t>
            </w:r>
            <w:r>
              <w:rPr>
                <w:color w:val="000000"/>
                <w:lang w:eastAsia="en-US"/>
              </w:rPr>
              <w:t>0</w:t>
            </w:r>
            <w:r w:rsidRPr="00BF6668">
              <w:rPr>
                <w:color w:val="000000"/>
                <w:lang w:eastAsia="en-US"/>
              </w:rPr>
              <w:t xml:space="preserve">000 laiko žymų, tačiau bendras Paslaugų teikimo terminas negali viršyti 36 mėnesių. </w:t>
            </w:r>
            <w:r w:rsidRPr="00B73AB4">
              <w:rPr>
                <w:color w:val="000000"/>
                <w:lang w:eastAsia="en-US"/>
              </w:rPr>
              <w:t xml:space="preserve">Paslaugų teikimo pradžia – </w:t>
            </w:r>
            <w:r w:rsidR="00B73AB4">
              <w:rPr>
                <w:color w:val="000000"/>
                <w:lang w:eastAsia="en-US"/>
              </w:rPr>
              <w:t>nuo sutarties pasirašymo.</w:t>
            </w:r>
          </w:p>
          <w:p w:rsidR="00534E56" w:rsidRPr="00EF1132" w:rsidRDefault="00534E56" w:rsidP="00534E56">
            <w:pPr>
              <w:ind w:right="-15"/>
              <w:jc w:val="both"/>
              <w:rPr>
                <w:lang w:val="en-US" w:eastAsia="en-US"/>
              </w:rPr>
            </w:pPr>
            <w:r>
              <w:rPr>
                <w:color w:val="000000"/>
                <w:lang w:eastAsia="en-US"/>
              </w:rPr>
              <w:t>3</w:t>
            </w:r>
            <w:r>
              <w:rPr>
                <w:lang w:eastAsia="en-US"/>
              </w:rPr>
              <w:t>.2. Paslaugų teikimo vieta – Šilo g.5A, Vilnius, kontaktas :</w:t>
            </w:r>
            <w:r w:rsidR="00E05BDE">
              <w:rPr>
                <w:lang w:eastAsia="en-US"/>
              </w:rPr>
              <w:t>___________________</w:t>
            </w:r>
          </w:p>
          <w:p w:rsidR="00534E56" w:rsidRDefault="00534E56" w:rsidP="00534E56">
            <w:pPr>
              <w:ind w:right="-15"/>
              <w:jc w:val="both"/>
              <w:rPr>
                <w:lang w:eastAsia="en-US"/>
              </w:rPr>
            </w:pPr>
            <w:r>
              <w:rPr>
                <w:lang w:eastAsia="en-US"/>
              </w:rPr>
              <w:t xml:space="preserve">3.3. Paslaugos turi atitikti </w:t>
            </w:r>
            <w:r w:rsidRPr="000B3F9C">
              <w:t xml:space="preserve">Sutarties </w:t>
            </w:r>
            <w:r>
              <w:t>2 priedo reikalavimus.</w:t>
            </w:r>
          </w:p>
          <w:p w:rsidR="00534E56" w:rsidRDefault="00534E56" w:rsidP="00534E56">
            <w:pPr>
              <w:ind w:right="-15"/>
              <w:jc w:val="both"/>
              <w:rPr>
                <w:lang w:eastAsia="en-US"/>
              </w:rPr>
            </w:pPr>
            <w:r>
              <w:rPr>
                <w:lang w:eastAsia="en-US"/>
              </w:rPr>
              <w:t xml:space="preserve">3.4. </w:t>
            </w:r>
            <w:r w:rsidRPr="00EF1132">
              <w:rPr>
                <w:b/>
                <w:lang w:eastAsia="en-US"/>
              </w:rPr>
              <w:t>Teikėjas</w:t>
            </w:r>
            <w:r>
              <w:rPr>
                <w:lang w:eastAsia="en-US"/>
              </w:rPr>
              <w:t xml:space="preserve"> įsipareigoja:</w:t>
            </w:r>
          </w:p>
          <w:p w:rsidR="00534E56" w:rsidRPr="00B73AB4" w:rsidRDefault="00534E56" w:rsidP="00534E56">
            <w:pPr>
              <w:ind w:right="-15"/>
              <w:jc w:val="both"/>
            </w:pPr>
            <w:r>
              <w:rPr>
                <w:lang w:eastAsia="en-US"/>
              </w:rPr>
              <w:t xml:space="preserve">3.4.1. </w:t>
            </w:r>
            <w:r w:rsidRPr="001C5441">
              <w:rPr>
                <w:b/>
                <w:lang w:eastAsia="en-US"/>
              </w:rPr>
              <w:t>Teikėjo</w:t>
            </w:r>
            <w:r>
              <w:rPr>
                <w:lang w:eastAsia="en-US"/>
              </w:rPr>
              <w:t xml:space="preserve"> </w:t>
            </w:r>
            <w:r w:rsidRPr="00AA101F">
              <w:t xml:space="preserve">teikiama </w:t>
            </w:r>
            <w:r>
              <w:t>k</w:t>
            </w:r>
            <w:r w:rsidRPr="00024B27">
              <w:t>valifi</w:t>
            </w:r>
            <w:r>
              <w:t>kuotų elektroninių laiko žymų</w:t>
            </w:r>
            <w:r w:rsidRPr="00024B27">
              <w:t xml:space="preserve"> </w:t>
            </w:r>
            <w:r w:rsidRPr="00AA101F">
              <w:t xml:space="preserve">paslauga </w:t>
            </w:r>
            <w:r>
              <w:t>turi būti įrašyta į P</w:t>
            </w:r>
            <w:r w:rsidRPr="00AA101F">
              <w:t>atikim</w:t>
            </w:r>
            <w:r>
              <w:t>ą</w:t>
            </w:r>
            <w:r w:rsidRPr="00AA101F">
              <w:t xml:space="preserve"> sąraš</w:t>
            </w:r>
            <w:r>
              <w:t>ą</w:t>
            </w:r>
            <w:r w:rsidRPr="00AA101F">
              <w:t>, sudaryt</w:t>
            </w:r>
            <w:r>
              <w:t>ą, tvarkomą</w:t>
            </w:r>
            <w:r w:rsidRPr="00AA101F">
              <w:t xml:space="preserve"> ir skelb</w:t>
            </w:r>
            <w:r>
              <w:t xml:space="preserve">iamą vadovaujantis </w:t>
            </w:r>
            <w:r w:rsidRPr="00024B27">
              <w:rPr>
                <w:color w:val="000000"/>
              </w:rPr>
              <w:t xml:space="preserve">2014 m. liepos 23 d. </w:t>
            </w:r>
            <w:r w:rsidRPr="00024B27">
              <w:t>patvirtint</w:t>
            </w:r>
            <w:r>
              <w:t>u</w:t>
            </w:r>
            <w:r w:rsidRPr="00024B27">
              <w:t xml:space="preserve"> E</w:t>
            </w:r>
            <w:r w:rsidRPr="00024B27">
              <w:rPr>
                <w:color w:val="000000"/>
              </w:rPr>
              <w:t>uropos parlamento ir tarybos reglament</w:t>
            </w:r>
            <w:r>
              <w:rPr>
                <w:color w:val="000000"/>
              </w:rPr>
              <w:t>o</w:t>
            </w:r>
            <w:r w:rsidRPr="00024B27">
              <w:rPr>
                <w:color w:val="000000"/>
              </w:rPr>
              <w:t xml:space="preserve"> (ES) Nr. 910/2014 „</w:t>
            </w:r>
            <w:r>
              <w:rPr>
                <w:color w:val="000000"/>
              </w:rPr>
              <w:t>D</w:t>
            </w:r>
            <w:r w:rsidRPr="00024B27">
              <w:rPr>
                <w:color w:val="000000"/>
              </w:rPr>
              <w:t xml:space="preserve">ėl elektroninės atpažinties ir elektroninių operacijų patikimumo užtikrinimo paslaugų </w:t>
            </w:r>
            <w:r w:rsidRPr="00B73AB4">
              <w:rPr>
                <w:color w:val="000000"/>
              </w:rPr>
              <w:t xml:space="preserve">vidaus rinkoje, kuriuo panaikinama Direktyva 1999/93/EB“ </w:t>
            </w:r>
            <w:r w:rsidRPr="00B73AB4">
              <w:t xml:space="preserve"> 22 straipsniu. Paslauga teikiama pagal Standarto ETSI EN 319 421 V1.1.1 „</w:t>
            </w:r>
            <w:proofErr w:type="spellStart"/>
            <w:r w:rsidRPr="00B73AB4">
              <w:t>Electronic</w:t>
            </w:r>
            <w:proofErr w:type="spellEnd"/>
            <w:r w:rsidRPr="00B73AB4">
              <w:t xml:space="preserve"> </w:t>
            </w:r>
            <w:proofErr w:type="spellStart"/>
            <w:r w:rsidRPr="00B73AB4">
              <w:t>Signatures</w:t>
            </w:r>
            <w:proofErr w:type="spellEnd"/>
            <w:r w:rsidRPr="00B73AB4">
              <w:t xml:space="preserve"> </w:t>
            </w:r>
            <w:proofErr w:type="spellStart"/>
            <w:r w:rsidRPr="00B73AB4">
              <w:t>and</w:t>
            </w:r>
            <w:proofErr w:type="spellEnd"/>
            <w:r w:rsidRPr="00B73AB4">
              <w:t xml:space="preserve"> </w:t>
            </w:r>
            <w:proofErr w:type="spellStart"/>
            <w:r w:rsidRPr="00B73AB4">
              <w:t>Infrastructures</w:t>
            </w:r>
            <w:proofErr w:type="spellEnd"/>
            <w:r w:rsidRPr="00B73AB4">
              <w:t xml:space="preserve"> (ESI); </w:t>
            </w:r>
            <w:proofErr w:type="spellStart"/>
            <w:r w:rsidRPr="00B73AB4">
              <w:t>Policy</w:t>
            </w:r>
            <w:proofErr w:type="spellEnd"/>
            <w:r w:rsidRPr="00B73AB4">
              <w:t xml:space="preserve"> </w:t>
            </w:r>
            <w:proofErr w:type="spellStart"/>
            <w:r w:rsidRPr="00B73AB4">
              <w:t>and</w:t>
            </w:r>
            <w:proofErr w:type="spellEnd"/>
            <w:r w:rsidRPr="00B73AB4">
              <w:t xml:space="preserve"> </w:t>
            </w:r>
            <w:proofErr w:type="spellStart"/>
            <w:r w:rsidRPr="00B73AB4">
              <w:t>Security</w:t>
            </w:r>
            <w:proofErr w:type="spellEnd"/>
            <w:r w:rsidRPr="00B73AB4">
              <w:t xml:space="preserve"> </w:t>
            </w:r>
            <w:proofErr w:type="spellStart"/>
            <w:r w:rsidRPr="00B73AB4">
              <w:t>Requirements</w:t>
            </w:r>
            <w:proofErr w:type="spellEnd"/>
            <w:r w:rsidRPr="00B73AB4">
              <w:t xml:space="preserve"> </w:t>
            </w:r>
            <w:proofErr w:type="spellStart"/>
            <w:r w:rsidRPr="00B73AB4">
              <w:t>for</w:t>
            </w:r>
            <w:proofErr w:type="spellEnd"/>
            <w:r w:rsidRPr="00B73AB4">
              <w:t xml:space="preserve"> </w:t>
            </w:r>
            <w:proofErr w:type="spellStart"/>
            <w:r w:rsidRPr="00B73AB4">
              <w:t>Trust</w:t>
            </w:r>
            <w:proofErr w:type="spellEnd"/>
            <w:r w:rsidRPr="00B73AB4">
              <w:t xml:space="preserve"> </w:t>
            </w:r>
            <w:proofErr w:type="spellStart"/>
            <w:r w:rsidRPr="00B73AB4">
              <w:t>Service</w:t>
            </w:r>
            <w:proofErr w:type="spellEnd"/>
            <w:r w:rsidRPr="00B73AB4">
              <w:t xml:space="preserve"> </w:t>
            </w:r>
            <w:proofErr w:type="spellStart"/>
            <w:r w:rsidRPr="00B73AB4">
              <w:t>Providers</w:t>
            </w:r>
            <w:proofErr w:type="spellEnd"/>
            <w:r w:rsidRPr="00B73AB4">
              <w:t xml:space="preserve"> </w:t>
            </w:r>
            <w:proofErr w:type="spellStart"/>
            <w:r w:rsidRPr="00B73AB4">
              <w:t>issuing</w:t>
            </w:r>
            <w:proofErr w:type="spellEnd"/>
            <w:r w:rsidRPr="00B73AB4">
              <w:t xml:space="preserve"> </w:t>
            </w:r>
            <w:proofErr w:type="spellStart"/>
            <w:r w:rsidRPr="00B73AB4">
              <w:t>Time-Stamps</w:t>
            </w:r>
            <w:proofErr w:type="spellEnd"/>
            <w:r w:rsidRPr="00B73AB4">
              <w:t>“ nuostatas.</w:t>
            </w:r>
          </w:p>
          <w:p w:rsidR="00534E56" w:rsidRPr="00EB30DC" w:rsidRDefault="00534E56" w:rsidP="00534E56">
            <w:pPr>
              <w:jc w:val="both"/>
              <w:rPr>
                <w:color w:val="1F497D"/>
                <w:sz w:val="22"/>
                <w:szCs w:val="22"/>
                <w:lang w:eastAsia="en-US"/>
              </w:rPr>
            </w:pPr>
            <w:r w:rsidRPr="00B73AB4">
              <w:t xml:space="preserve">3.4.2. </w:t>
            </w:r>
            <w:r w:rsidRPr="00B73AB4">
              <w:rPr>
                <w:b/>
              </w:rPr>
              <w:t>Teikėjo</w:t>
            </w:r>
            <w:r w:rsidRPr="00B73AB4">
              <w:t xml:space="preserve"> teikiama kvalifikuotų elektroninių laiko žymų paslauga turi būti pagal TSP, TSPS (TSP -</w:t>
            </w:r>
            <w:r w:rsidRPr="00EB30DC">
              <w:t xml:space="preserve"> </w:t>
            </w:r>
            <w:proofErr w:type="spellStart"/>
            <w:r w:rsidRPr="00EB30DC">
              <w:t>Time-Stamp</w:t>
            </w:r>
            <w:proofErr w:type="spellEnd"/>
            <w:r w:rsidRPr="00EB30DC">
              <w:t xml:space="preserve"> </w:t>
            </w:r>
            <w:proofErr w:type="spellStart"/>
            <w:r w:rsidRPr="00EB30DC">
              <w:t>Protocol</w:t>
            </w:r>
            <w:proofErr w:type="spellEnd"/>
            <w:r w:rsidRPr="00EB30DC">
              <w:t>, laiko žymos teikimo taisyklės</w:t>
            </w:r>
            <w:r w:rsidRPr="00EB30DC">
              <w:rPr>
                <w:sz w:val="22"/>
                <w:szCs w:val="22"/>
                <w:lang w:eastAsia="en-US"/>
              </w:rPr>
              <w:t xml:space="preserve">, </w:t>
            </w:r>
            <w:r w:rsidRPr="00EB30DC">
              <w:t xml:space="preserve">TSPS - </w:t>
            </w:r>
            <w:proofErr w:type="spellStart"/>
            <w:r w:rsidRPr="00EB30DC">
              <w:t>Time</w:t>
            </w:r>
            <w:proofErr w:type="spellEnd"/>
            <w:r w:rsidRPr="00EB30DC">
              <w:t xml:space="preserve"> </w:t>
            </w:r>
            <w:proofErr w:type="spellStart"/>
            <w:r w:rsidRPr="00EB30DC">
              <w:t>Stamp</w:t>
            </w:r>
            <w:proofErr w:type="spellEnd"/>
            <w:r w:rsidRPr="00EB30DC">
              <w:t xml:space="preserve"> </w:t>
            </w:r>
            <w:proofErr w:type="spellStart"/>
            <w:r w:rsidRPr="00EB30DC">
              <w:t>Protocol</w:t>
            </w:r>
            <w:proofErr w:type="spellEnd"/>
            <w:r w:rsidRPr="00EB30DC">
              <w:t xml:space="preserve"> </w:t>
            </w:r>
            <w:proofErr w:type="spellStart"/>
            <w:r w:rsidRPr="00EB30DC">
              <w:t>Service</w:t>
            </w:r>
            <w:proofErr w:type="spellEnd"/>
            <w:r w:rsidRPr="00EB30DC">
              <w:t>, laiko žymos teikimo veiklos nuostatai);</w:t>
            </w:r>
          </w:p>
          <w:p w:rsidR="00534E56" w:rsidRPr="002A2564" w:rsidRDefault="00534E56" w:rsidP="00534E56">
            <w:pPr>
              <w:ind w:right="-15"/>
              <w:jc w:val="both"/>
              <w:rPr>
                <w:rFonts w:ascii="Tahoma" w:hAnsi="Tahoma" w:cs="Tahoma"/>
                <w:sz w:val="22"/>
                <w:szCs w:val="22"/>
              </w:rPr>
            </w:pPr>
            <w:r>
              <w:t>3</w:t>
            </w:r>
            <w:r w:rsidRPr="0064634A">
              <w:t>.</w:t>
            </w:r>
            <w:r>
              <w:t>4</w:t>
            </w:r>
            <w:r w:rsidRPr="0064634A">
              <w:t>.</w:t>
            </w:r>
            <w:r>
              <w:t>3</w:t>
            </w:r>
            <w:r w:rsidRPr="0064634A">
              <w:t>.</w:t>
            </w:r>
            <w:r w:rsidRPr="002A2564">
              <w:rPr>
                <w:rFonts w:ascii="Tahoma" w:hAnsi="Tahoma" w:cs="Tahoma"/>
                <w:sz w:val="22"/>
                <w:szCs w:val="22"/>
              </w:rPr>
              <w:t xml:space="preserve"> </w:t>
            </w:r>
            <w:r w:rsidRPr="0064634A">
              <w:t>užtikrinti laiko žymoms pasirašyti naudojamų parašo formavimo duomenų konfidencialumą ir vientisumą, laiko žymos naudotojams platinamų atitinkamų parašo tikrinimo duomenų ir bet kurių kitų susijusių duomenų vientisumą ir autentiškumą savo veikimo ribose;</w:t>
            </w:r>
          </w:p>
          <w:p w:rsidR="00534E56" w:rsidRPr="0064634A" w:rsidRDefault="00534E56" w:rsidP="00534E56">
            <w:pPr>
              <w:ind w:right="-15"/>
              <w:jc w:val="both"/>
            </w:pPr>
            <w:r>
              <w:t>3</w:t>
            </w:r>
            <w:r w:rsidRPr="0064634A">
              <w:t>.</w:t>
            </w:r>
            <w:r>
              <w:t>4</w:t>
            </w:r>
            <w:r w:rsidRPr="0064634A">
              <w:t>.</w:t>
            </w:r>
            <w:r>
              <w:t>4</w:t>
            </w:r>
            <w:r w:rsidRPr="0064634A">
              <w:t>. užtikrinti laiko žymoms pasirašyti skirtų parašo formavimo duomenų ir juos atitinkančio sertifikato naudojimą ribotą laiką, nustatytą TSP;</w:t>
            </w:r>
          </w:p>
          <w:p w:rsidR="00534E56" w:rsidRPr="0064634A" w:rsidRDefault="00534E56" w:rsidP="00534E56">
            <w:pPr>
              <w:ind w:right="-15"/>
              <w:jc w:val="both"/>
            </w:pPr>
            <w:r>
              <w:t>3</w:t>
            </w:r>
            <w:r w:rsidRPr="0064634A">
              <w:t>.</w:t>
            </w:r>
            <w:r>
              <w:t>4</w:t>
            </w:r>
            <w:r w:rsidRPr="0064634A">
              <w:t>.</w:t>
            </w:r>
            <w:r>
              <w:t>5</w:t>
            </w:r>
            <w:r w:rsidRPr="0064634A">
              <w:t xml:space="preserve"> savo veikimo ribose užtikrinti laiko žymoms pasirašyti naudojamos parašo formavimo įrangos saugumą jos naudojimo metu;</w:t>
            </w:r>
          </w:p>
          <w:p w:rsidR="00534E56" w:rsidRPr="0064634A" w:rsidRDefault="00534E56" w:rsidP="00534E56">
            <w:pPr>
              <w:ind w:right="-15"/>
              <w:jc w:val="both"/>
            </w:pPr>
            <w:r>
              <w:t>3</w:t>
            </w:r>
            <w:r w:rsidRPr="0064634A">
              <w:t>.</w:t>
            </w:r>
            <w:r>
              <w:t>4</w:t>
            </w:r>
            <w:r w:rsidRPr="0064634A">
              <w:t>.</w:t>
            </w:r>
            <w:r>
              <w:t>6.</w:t>
            </w:r>
            <w:r w:rsidRPr="0064634A">
              <w:t xml:space="preserve"> Užtikrinti patikimą laiko žymos kūrimą (formavimą):</w:t>
            </w:r>
          </w:p>
          <w:p w:rsidR="00534E56" w:rsidRPr="00521812" w:rsidRDefault="00534E56" w:rsidP="00534E56">
            <w:pPr>
              <w:tabs>
                <w:tab w:val="left" w:pos="1390"/>
              </w:tabs>
              <w:ind w:right="-15"/>
              <w:jc w:val="both"/>
            </w:pPr>
            <w:r>
              <w:t>3</w:t>
            </w:r>
            <w:r w:rsidRPr="00521812">
              <w:t>.</w:t>
            </w:r>
            <w:r>
              <w:t>4.6</w:t>
            </w:r>
            <w:r w:rsidRPr="00521812">
              <w:t>.1. saugų laiko žymų kūrimą (formavimą) ir teisingo laiko įtraukimą į jas;</w:t>
            </w:r>
          </w:p>
          <w:p w:rsidR="00534E56" w:rsidRPr="00521812" w:rsidRDefault="00534E56" w:rsidP="00534E56">
            <w:pPr>
              <w:ind w:right="-15"/>
              <w:jc w:val="both"/>
            </w:pPr>
            <w:r w:rsidRPr="00521812">
              <w:t xml:space="preserve">3.4.6.2. ne didesniu nei 1 (vienos) sekundės tikslumo TSA laikrodžių, naudojamų laiko žymoms formuoti, sinchronizaciją su pasauliniu koordinuotuoju (toliau – </w:t>
            </w:r>
            <w:r w:rsidRPr="00521812">
              <w:rPr>
                <w:b/>
              </w:rPr>
              <w:t>UTC</w:t>
            </w:r>
            <w:r w:rsidRPr="00521812">
              <w:t>) laiku,</w:t>
            </w:r>
          </w:p>
          <w:p w:rsidR="00534E56" w:rsidRPr="00521812" w:rsidRDefault="00534E56" w:rsidP="00534E56">
            <w:pPr>
              <w:ind w:left="1134" w:right="-15" w:hanging="1134"/>
              <w:jc w:val="both"/>
            </w:pPr>
            <w:r w:rsidRPr="00521812">
              <w:t>3.4.6.3. Užtikrinti patikimą valdymą ir darbą:</w:t>
            </w:r>
          </w:p>
          <w:p w:rsidR="00534E56" w:rsidRPr="00521812" w:rsidRDefault="00534E56" w:rsidP="00534E56">
            <w:pPr>
              <w:ind w:right="-15"/>
              <w:jc w:val="both"/>
            </w:pPr>
            <w:r w:rsidRPr="00521812">
              <w:t>3.4.6.</w:t>
            </w:r>
            <w:r>
              <w:t>4</w:t>
            </w:r>
            <w:r w:rsidRPr="00521812">
              <w:t>. kaupiamos informacijos ir laiko žymos paslaugoms teikti reikalingos įrangos tinkamą apsaugą;</w:t>
            </w:r>
          </w:p>
          <w:p w:rsidR="00534E56" w:rsidRPr="00521812" w:rsidRDefault="00534E56" w:rsidP="00534E56">
            <w:pPr>
              <w:ind w:left="-34" w:right="-15" w:firstLine="34"/>
              <w:jc w:val="both"/>
            </w:pPr>
            <w:r w:rsidRPr="00521812">
              <w:lastRenderedPageBreak/>
              <w:t>3.4.6.</w:t>
            </w:r>
            <w:r>
              <w:t>5</w:t>
            </w:r>
            <w:r w:rsidRPr="00521812">
              <w:t>. TSPS nustatytų taisyklių laikymąsi ir laiko žymos formavimo paslaugos teikimo tvarkos pažeidimo galimybės minimizavimą savo veikimo ribose;</w:t>
            </w:r>
          </w:p>
          <w:p w:rsidR="00534E56" w:rsidRPr="00521812" w:rsidRDefault="00534E56" w:rsidP="00534E56">
            <w:pPr>
              <w:ind w:left="-34" w:right="-15" w:firstLine="34"/>
              <w:jc w:val="both"/>
            </w:pPr>
            <w:r w:rsidRPr="00521812">
              <w:t>3.4.6.</w:t>
            </w:r>
            <w:r>
              <w:t>6</w:t>
            </w:r>
            <w:r w:rsidRPr="00521812">
              <w:t>. savo veikimo ribose užtikrinti fizinės prieigos prie kritinių paslaugos vietų (laiko žymos formavimo ir pasirašymo) kontrolę, laiko žymoms formuoti naudojamos įrangos teisingą naudojimą ir apsaugą nuo modifikavimo ar fizinio sugadinimo;</w:t>
            </w:r>
          </w:p>
          <w:p w:rsidR="00534E56" w:rsidRPr="00521812" w:rsidRDefault="00534E56" w:rsidP="00534E56">
            <w:pPr>
              <w:ind w:right="-15"/>
              <w:jc w:val="both"/>
            </w:pPr>
            <w:r w:rsidRPr="00521812">
              <w:t>3.4.6</w:t>
            </w:r>
            <w:r>
              <w:t>.7</w:t>
            </w:r>
            <w:r w:rsidRPr="00521812">
              <w:t xml:space="preserve">. tinkamą </w:t>
            </w:r>
            <w:r w:rsidRPr="009614F0">
              <w:rPr>
                <w:b/>
              </w:rPr>
              <w:t>Pirkėjo</w:t>
            </w:r>
            <w:r w:rsidRPr="00521812">
              <w:t xml:space="preserve"> informavimą atsitikus įvykiams, turintiems įtakos paslaugų teikimo saugumui arba esant laikrodžio sutrikimams;</w:t>
            </w:r>
          </w:p>
          <w:p w:rsidR="00534E56" w:rsidRPr="00521812" w:rsidRDefault="00534E56" w:rsidP="00534E56">
            <w:pPr>
              <w:ind w:left="-34" w:right="-15" w:firstLine="34"/>
              <w:jc w:val="both"/>
            </w:pPr>
            <w:r w:rsidRPr="00521812">
              <w:t>3.4.6</w:t>
            </w:r>
            <w:r>
              <w:t>.8</w:t>
            </w:r>
            <w:r w:rsidRPr="00521812">
              <w:t xml:space="preserve">. nepertraukiamą informacijos, reikalingos </w:t>
            </w:r>
            <w:r w:rsidRPr="009614F0">
              <w:rPr>
                <w:b/>
              </w:rPr>
              <w:t>Pirkėjo</w:t>
            </w:r>
            <w:r w:rsidRPr="00521812">
              <w:t xml:space="preserve"> sukurtų parašų laiko žymoms tikrinti, teikimą;</w:t>
            </w:r>
          </w:p>
          <w:p w:rsidR="00534E56" w:rsidRPr="00521812" w:rsidRDefault="00534E56" w:rsidP="00534E56">
            <w:pPr>
              <w:ind w:right="-15"/>
              <w:jc w:val="both"/>
            </w:pPr>
            <w:r w:rsidRPr="00521812">
              <w:t>3.4.6</w:t>
            </w:r>
            <w:r>
              <w:t>.9</w:t>
            </w:r>
            <w:r w:rsidRPr="00521812">
              <w:t xml:space="preserve">. asmens duomenų, kuriuos </w:t>
            </w:r>
            <w:r w:rsidRPr="009614F0">
              <w:rPr>
                <w:b/>
              </w:rPr>
              <w:t>Teikėjui</w:t>
            </w:r>
            <w:r w:rsidRPr="00521812">
              <w:t xml:space="preserve"> yra pateikęs </w:t>
            </w:r>
            <w:r w:rsidRPr="009614F0">
              <w:rPr>
                <w:b/>
              </w:rPr>
              <w:t>Pirkėjas</w:t>
            </w:r>
            <w:r w:rsidRPr="00521812">
              <w:t xml:space="preserve">, apsaugos reikalavimų, nustatytų Europos Parlamento ir Tarybos reglamente dėl fizinių asmenų apsaugos tvarkant asmens duomenis ir dėl laisvo tokių duomenų judėjimo ir kuriuo panaikinama Direktyva 95/46/EB (toliau – Bendrasis asmens duomenų apsaugos reglamentas) ir kituose Lietuvos Respublikos teisės aktuose, laikymąsi bei kitos jiems pateiktos </w:t>
            </w:r>
            <w:r>
              <w:rPr>
                <w:b/>
              </w:rPr>
              <w:t>Pirkėjo</w:t>
            </w:r>
            <w:r w:rsidRPr="00521812">
              <w:t xml:space="preserve"> informacijos be jo sutikimo ar teismo sprendimo neplatinimą. Šios Sutarties pagrindu gauti asmens duomenys bus tvarkomi remiantis Bendruoju asmens duomenų apsaugos reglamento nuostatomis;</w:t>
            </w:r>
          </w:p>
          <w:p w:rsidR="00534E56" w:rsidRPr="00521812" w:rsidRDefault="00534E56" w:rsidP="00534E56">
            <w:pPr>
              <w:ind w:left="108" w:right="-15" w:hanging="108"/>
              <w:jc w:val="both"/>
            </w:pPr>
            <w:r w:rsidRPr="00521812">
              <w:t>3.4.6</w:t>
            </w:r>
            <w:r>
              <w:t>.10</w:t>
            </w:r>
            <w:r w:rsidRPr="00521812">
              <w:t>. TSP nurodytos informacijos užrašymą ir saugojimą TSP nurodytą laiką.</w:t>
            </w:r>
          </w:p>
          <w:p w:rsidR="00534E56" w:rsidRPr="00521812" w:rsidRDefault="00534E56" w:rsidP="00534E56">
            <w:pPr>
              <w:ind w:right="-15"/>
              <w:jc w:val="both"/>
            </w:pPr>
            <w:r w:rsidRPr="00521812">
              <w:t>3.4.6</w:t>
            </w:r>
            <w:r>
              <w:t>.11</w:t>
            </w:r>
            <w:r w:rsidRPr="00521812">
              <w:t xml:space="preserve">. </w:t>
            </w:r>
            <w:r w:rsidRPr="009614F0">
              <w:rPr>
                <w:b/>
              </w:rPr>
              <w:t>Teikėjas</w:t>
            </w:r>
            <w:r w:rsidRPr="00521812">
              <w:t xml:space="preserve"> įsipareigoja skelbti naujausias TSPS ir TSP versijas saugykloje (</w:t>
            </w:r>
            <w:proofErr w:type="spellStart"/>
            <w:r w:rsidRPr="00521812">
              <w:rPr>
                <w:i/>
              </w:rPr>
              <w:t>repository</w:t>
            </w:r>
            <w:proofErr w:type="spellEnd"/>
            <w:r w:rsidRPr="00521812">
              <w:t xml:space="preserve">) internete </w:t>
            </w:r>
            <w:hyperlink r:id="rId8" w:history="1"/>
            <w:r>
              <w:rPr>
                <w:rStyle w:val="Hyperlink"/>
              </w:rPr>
              <w:t xml:space="preserve">     (internetinis adresas)    </w:t>
            </w:r>
            <w:r w:rsidRPr="00521812">
              <w:t xml:space="preserve">; Apie keičiamus TSPS ir TSP </w:t>
            </w:r>
            <w:r w:rsidRPr="009614F0">
              <w:rPr>
                <w:b/>
              </w:rPr>
              <w:t>Teikėjas</w:t>
            </w:r>
            <w:r w:rsidRPr="009614F0">
              <w:t xml:space="preserve"> </w:t>
            </w:r>
            <w:r w:rsidRPr="00521812">
              <w:t xml:space="preserve">informuoja </w:t>
            </w:r>
            <w:r w:rsidRPr="009614F0">
              <w:rPr>
                <w:b/>
              </w:rPr>
              <w:t>Pirkėją</w:t>
            </w:r>
            <w:r w:rsidRPr="00521812">
              <w:t xml:space="preserve"> ne vėliau kaip 30 (trisdešimt) darbo dienų iki dokumentų naujos redakcijos įsigaliojimo dienos;</w:t>
            </w:r>
          </w:p>
          <w:p w:rsidR="00534E56" w:rsidRDefault="00534E56" w:rsidP="00534E56">
            <w:pPr>
              <w:ind w:right="-15"/>
              <w:jc w:val="both"/>
            </w:pPr>
            <w:r>
              <w:t>3</w:t>
            </w:r>
            <w:r w:rsidRPr="00521812">
              <w:t xml:space="preserve">.5. </w:t>
            </w:r>
            <w:r w:rsidRPr="009614F0">
              <w:rPr>
                <w:b/>
              </w:rPr>
              <w:t>Teikėjas</w:t>
            </w:r>
            <w:r w:rsidRPr="009614F0">
              <w:t xml:space="preserve"> </w:t>
            </w:r>
            <w:r w:rsidRPr="00521812">
              <w:t xml:space="preserve">įsipareigoja prieš laiko žymos formavimo algoritmo pakeitimą į stipresnį, Sutartyje nurodytu būdu informuoti </w:t>
            </w:r>
            <w:r w:rsidRPr="009614F0">
              <w:rPr>
                <w:b/>
              </w:rPr>
              <w:t>Pirkėją</w:t>
            </w:r>
            <w:r w:rsidRPr="00521812">
              <w:t>.</w:t>
            </w:r>
          </w:p>
          <w:p w:rsidR="00534E56" w:rsidRDefault="00534E56" w:rsidP="00534E56">
            <w:pPr>
              <w:ind w:right="-15"/>
              <w:jc w:val="both"/>
              <w:rPr>
                <w:lang w:eastAsia="en-US"/>
              </w:rPr>
            </w:pPr>
            <w:r>
              <w:rPr>
                <w:lang w:eastAsia="en-US"/>
              </w:rPr>
              <w:t xml:space="preserve">3.6. užtikrinti, kad </w:t>
            </w:r>
            <w:r w:rsidRPr="00D90530">
              <w:rPr>
                <w:b/>
                <w:lang w:eastAsia="en-US"/>
              </w:rPr>
              <w:t>T</w:t>
            </w:r>
            <w:r w:rsidRPr="00EF1132">
              <w:rPr>
                <w:b/>
                <w:lang w:eastAsia="en-US"/>
              </w:rPr>
              <w:t>eikėjas</w:t>
            </w:r>
            <w:r>
              <w:rPr>
                <w:lang w:eastAsia="en-US"/>
              </w:rPr>
              <w:t xml:space="preserve">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rsidR="00534E56" w:rsidRDefault="00534E56" w:rsidP="00534E56">
            <w:pPr>
              <w:ind w:right="-15"/>
              <w:jc w:val="both"/>
              <w:rPr>
                <w:lang w:eastAsia="en-US"/>
              </w:rPr>
            </w:pPr>
            <w:r>
              <w:rPr>
                <w:lang w:eastAsia="en-US"/>
              </w:rPr>
              <w:t xml:space="preserve">3.7. užtikrinti, kad </w:t>
            </w:r>
            <w:r w:rsidRPr="00D90530">
              <w:rPr>
                <w:b/>
                <w:lang w:eastAsia="en-US"/>
              </w:rPr>
              <w:t>Teikėjas</w:t>
            </w:r>
            <w:r>
              <w:rPr>
                <w:lang w:eastAsia="en-US"/>
              </w:rPr>
              <w:t xml:space="preserve">, jo subtiekėjas ar ūkio subjektas, kurių </w:t>
            </w:r>
            <w:proofErr w:type="spellStart"/>
            <w:r>
              <w:rPr>
                <w:lang w:eastAsia="en-US"/>
              </w:rPr>
              <w:t>pajėgumais</w:t>
            </w:r>
            <w:proofErr w:type="spellEnd"/>
            <w:r>
              <w:rPr>
                <w:lang w:eastAsia="en-US"/>
              </w:rPr>
              <w:t xml:space="preserve"> remiamasi, kurie patys ar juos kontroliuojantys asmenys nėra registruoti (jeigu tiekėjas, jo subtiekėjas, ūkio subjektas, kurio </w:t>
            </w:r>
            <w:proofErr w:type="spellStart"/>
            <w:r>
              <w:rPr>
                <w:lang w:eastAsia="en-US"/>
              </w:rPr>
              <w:t>pajėgumais</w:t>
            </w:r>
            <w:proofErr w:type="spellEnd"/>
            <w:r>
              <w:rPr>
                <w:lang w:eastAsia="en-US"/>
              </w:rPr>
              <w:t xml:space="preserve"> remiamasi, ar kontroliuojantis asmuo yra fizinis asmuo – nuolat gyvenantis ar turintis pilietybę) Viešųjų pirkimų įstatymo 92 straipsnio 14 dalyje numatytame sąraše nurodytose valstybėse ar teritorijose.</w:t>
            </w:r>
          </w:p>
          <w:p w:rsidR="00534E56" w:rsidRDefault="00534E56" w:rsidP="00534E56">
            <w:pPr>
              <w:ind w:right="-15"/>
              <w:jc w:val="both"/>
              <w:rPr>
                <w:lang w:eastAsia="en-US"/>
              </w:rPr>
            </w:pPr>
            <w:r>
              <w:rPr>
                <w:lang w:eastAsia="en-US"/>
              </w:rPr>
              <w:t xml:space="preserve">3.8. </w:t>
            </w:r>
            <w:r w:rsidRPr="00D90530">
              <w:rPr>
                <w:b/>
                <w:lang w:eastAsia="en-US"/>
              </w:rPr>
              <w:t>Teikėjas</w:t>
            </w:r>
            <w:r>
              <w:rPr>
                <w:lang w:eastAsia="en-US"/>
              </w:rPr>
              <w:t xml:space="preserve"> privalo užtikrinti, kad Sutarties sudarymo ir vykdymo metu neatsirastų aplinkybių nurodytų Viešųjų pirkimų įstatymo 45 straipsnio 2</w:t>
            </w:r>
            <w:r w:rsidRPr="00534E56">
              <w:rPr>
                <w:vertAlign w:val="superscript"/>
                <w:lang w:eastAsia="en-US"/>
              </w:rPr>
              <w:t>1</w:t>
            </w:r>
            <w:r>
              <w:rPr>
                <w:lang w:eastAsia="en-US"/>
              </w:rPr>
              <w:t xml:space="preserve"> dalyje. </w:t>
            </w:r>
            <w:r w:rsidRPr="00D90530">
              <w:rPr>
                <w:b/>
                <w:lang w:eastAsia="en-US"/>
              </w:rPr>
              <w:t xml:space="preserve">Pirkėjas </w:t>
            </w:r>
            <w:r>
              <w:rPr>
                <w:lang w:eastAsia="en-US"/>
              </w:rPr>
              <w:t xml:space="preserve">turi teisę bet kuriuo metu pareikalauti </w:t>
            </w:r>
            <w:r w:rsidRPr="00D90530">
              <w:rPr>
                <w:b/>
                <w:lang w:eastAsia="en-US"/>
              </w:rPr>
              <w:t>Teikėjo,</w:t>
            </w:r>
            <w:r>
              <w:rPr>
                <w:lang w:eastAsia="en-US"/>
              </w:rPr>
              <w:t xml:space="preserve"> pateikti pagrindžiančius dokumentus nurodytus Viešųjų pirkimų įstatymo 51 straipsnio 12 dalyje, kad nėra sąlygų, numatytų Viešųjų pirkimų įstatymo 45 straipsnio 2</w:t>
            </w:r>
            <w:r w:rsidRPr="00534E56">
              <w:rPr>
                <w:vertAlign w:val="superscript"/>
                <w:lang w:eastAsia="en-US"/>
              </w:rPr>
              <w:t>1</w:t>
            </w:r>
            <w:r>
              <w:rPr>
                <w:lang w:eastAsia="en-US"/>
              </w:rPr>
              <w:t xml:space="preserve"> dalyje. </w:t>
            </w:r>
            <w:r>
              <w:rPr>
                <w:b/>
                <w:lang w:eastAsia="en-US"/>
              </w:rPr>
              <w:t>Teik</w:t>
            </w:r>
            <w:r w:rsidRPr="00D90530">
              <w:rPr>
                <w:b/>
                <w:lang w:eastAsia="en-US"/>
              </w:rPr>
              <w:t>ėjas</w:t>
            </w:r>
            <w:r>
              <w:rPr>
                <w:lang w:eastAsia="en-US"/>
              </w:rPr>
              <w:t xml:space="preserve"> privalo pateikti Pirkėjo prašomus dokumentus ne vėliau kaip per 10 darbo dienų nuo prašymo gavimo dienos.</w:t>
            </w:r>
          </w:p>
          <w:p w:rsidR="00534E56" w:rsidRPr="002728C6" w:rsidRDefault="00534E56" w:rsidP="00534E56">
            <w:pPr>
              <w:ind w:right="-15"/>
              <w:jc w:val="both"/>
            </w:pPr>
          </w:p>
        </w:tc>
      </w:tr>
      <w:tr w:rsidR="00534E56" w:rsidTr="001A3760">
        <w:tc>
          <w:tcPr>
            <w:tcW w:w="10368" w:type="dxa"/>
            <w:shd w:val="clear" w:color="auto" w:fill="auto"/>
          </w:tcPr>
          <w:p w:rsidR="00534E56" w:rsidRPr="007A4D14" w:rsidRDefault="00534E56" w:rsidP="00534E56">
            <w:pPr>
              <w:rPr>
                <w:b/>
              </w:rPr>
            </w:pPr>
            <w:r w:rsidRPr="007A4D14">
              <w:rPr>
                <w:b/>
              </w:rPr>
              <w:lastRenderedPageBreak/>
              <w:t>4. Apmokėjimo tvarka</w:t>
            </w:r>
          </w:p>
          <w:p w:rsidR="00534E56" w:rsidRPr="00534E56" w:rsidRDefault="00534E56" w:rsidP="00534E56">
            <w:pPr>
              <w:jc w:val="both"/>
            </w:pPr>
            <w:r w:rsidRPr="00534E56">
              <w:t xml:space="preserve">4.1. </w:t>
            </w:r>
            <w:r w:rsidRPr="00534E56">
              <w:rPr>
                <w:b/>
              </w:rPr>
              <w:t xml:space="preserve">Pirkėjas </w:t>
            </w:r>
            <w:r w:rsidRPr="00534E56">
              <w:t xml:space="preserve">su </w:t>
            </w:r>
            <w:r w:rsidRPr="00534E56">
              <w:rPr>
                <w:b/>
              </w:rPr>
              <w:t xml:space="preserve">Teikėju </w:t>
            </w:r>
            <w:r w:rsidRPr="00534E56">
              <w:t xml:space="preserve">atsiskaito Sutarties bendrosios dalies 4.1 papunktyje nustatyta tvarka. </w:t>
            </w:r>
          </w:p>
          <w:p w:rsidR="00534E56" w:rsidRPr="00534E56" w:rsidRDefault="00534E56" w:rsidP="00534E56">
            <w:pPr>
              <w:jc w:val="both"/>
              <w:rPr>
                <w:i/>
              </w:rPr>
            </w:pPr>
            <w:r w:rsidRPr="00534E56">
              <w:t xml:space="preserve">4.2. Avanso mokėjimas nenumatomas </w:t>
            </w:r>
            <w:r w:rsidRPr="00534E56">
              <w:rPr>
                <w:i/>
              </w:rPr>
              <w:t>.</w:t>
            </w:r>
          </w:p>
          <w:p w:rsidR="00534E56" w:rsidRPr="00256EDC" w:rsidRDefault="00534E56" w:rsidP="00534E56">
            <w:pPr>
              <w:jc w:val="both"/>
            </w:pPr>
            <w:r w:rsidRPr="00534E56">
              <w:t xml:space="preserve">4.3. Vykdant Sutartį, PVM sąskaitos faktūros turi būti teikiamos naudojantis informacinės sistemos „SABIS“ priemonėmis, nurodant </w:t>
            </w:r>
            <w:r w:rsidRPr="00534E56">
              <w:rPr>
                <w:b/>
              </w:rPr>
              <w:t xml:space="preserve">Pirkėją, Sutarties numerį ir datą. </w:t>
            </w:r>
            <w:r w:rsidRPr="00534E56">
              <w:t xml:space="preserve"> Jeigu </w:t>
            </w:r>
            <w:r w:rsidRPr="00534E56">
              <w:rPr>
                <w:b/>
              </w:rPr>
              <w:t>Teikėjas</w:t>
            </w:r>
            <w:r w:rsidRPr="00534E56">
              <w:t xml:space="preserve"> nepateikia sąskaitos informacinės sistemos ,,SABIS“ priemonėmis, mokėjimas neatliekamas.</w:t>
            </w:r>
          </w:p>
        </w:tc>
      </w:tr>
      <w:tr w:rsidR="00534E56" w:rsidTr="001A3760">
        <w:tc>
          <w:tcPr>
            <w:tcW w:w="10368" w:type="dxa"/>
            <w:shd w:val="clear" w:color="auto" w:fill="auto"/>
          </w:tcPr>
          <w:p w:rsidR="00534E56" w:rsidRPr="00D14114" w:rsidRDefault="00534E56" w:rsidP="00534E56">
            <w:pPr>
              <w:jc w:val="both"/>
              <w:rPr>
                <w:b/>
              </w:rPr>
            </w:pPr>
            <w:r w:rsidRPr="00D14114">
              <w:rPr>
                <w:b/>
              </w:rPr>
              <w:t xml:space="preserve">5. Pirkėjo teisė vienašališkai nutraukti Sutartį </w:t>
            </w:r>
          </w:p>
          <w:p w:rsidR="00534E56" w:rsidRPr="00534E56" w:rsidRDefault="00534E56" w:rsidP="00534E56">
            <w:pPr>
              <w:jc w:val="both"/>
            </w:pPr>
            <w:r w:rsidRPr="00534E56">
              <w:rPr>
                <w:b/>
              </w:rPr>
              <w:t xml:space="preserve">5.1. </w:t>
            </w:r>
            <w:r w:rsidRPr="00534E56">
              <w:t>Pirkėjas turi teisę Sutarties bendrosios dalies 9.2. punkte nustatyta tvarka Sutartį nutraukti:</w:t>
            </w:r>
          </w:p>
          <w:p w:rsidR="00534E56" w:rsidRPr="00534E56" w:rsidRDefault="00534E56" w:rsidP="00534E56">
            <w:pPr>
              <w:jc w:val="both"/>
            </w:pPr>
            <w:r w:rsidRPr="00534E56">
              <w:t xml:space="preserve">5.1.1. </w:t>
            </w:r>
            <w:r w:rsidRPr="00534E56">
              <w:rPr>
                <w:b/>
              </w:rPr>
              <w:t>Teikėjui</w:t>
            </w:r>
            <w:r w:rsidRPr="00534E56">
              <w:t xml:space="preserve"> nepradedant teikti paslaugų daugiau kaip 30 (trisdešimt) dienų nuo Sutarties Specialiosios dalies 3.1 punkte nustatytos paslaugų teikimo pradžios.</w:t>
            </w:r>
          </w:p>
          <w:p w:rsidR="00534E56" w:rsidRPr="00534E56" w:rsidRDefault="00534E56" w:rsidP="00534E56">
            <w:pPr>
              <w:jc w:val="both"/>
            </w:pPr>
            <w:r w:rsidRPr="00534E56">
              <w:t xml:space="preserve"> 5.1.2. </w:t>
            </w:r>
            <w:r w:rsidRPr="00534E56">
              <w:rPr>
                <w:b/>
              </w:rPr>
              <w:t>Teikėjui</w:t>
            </w:r>
            <w:r w:rsidRPr="00534E56">
              <w:t xml:space="preserve"> per nustatytą terminą, nepateikus </w:t>
            </w:r>
            <w:r w:rsidRPr="00534E56">
              <w:rPr>
                <w:b/>
              </w:rPr>
              <w:t>Pirkėjui</w:t>
            </w:r>
            <w:r w:rsidRPr="00534E56">
              <w:t xml:space="preserve"> Sutarties specialiosios dalies 3.8 punkte nurodytų dokumentų;</w:t>
            </w:r>
          </w:p>
          <w:p w:rsidR="00534E56" w:rsidRPr="00534E56" w:rsidRDefault="00534E56" w:rsidP="00534E56">
            <w:pPr>
              <w:jc w:val="both"/>
            </w:pPr>
            <w:r w:rsidRPr="00534E56">
              <w:t>5.1.3. paaiškėjus aplinkybėms, atitinkančioms bent vieną iš VPĮ 45 straipsnio 2</w:t>
            </w:r>
            <w:r w:rsidRPr="00534E56">
              <w:rPr>
                <w:vertAlign w:val="superscript"/>
              </w:rPr>
              <w:t>1</w:t>
            </w:r>
            <w:r w:rsidRPr="00534E56">
              <w:t xml:space="preserve"> dalyje išvardintų sąlygų;</w:t>
            </w:r>
          </w:p>
          <w:p w:rsidR="00534E56" w:rsidRPr="00534E56" w:rsidRDefault="00534E56" w:rsidP="00534E56">
            <w:pPr>
              <w:jc w:val="both"/>
            </w:pPr>
            <w:r w:rsidRPr="00534E56">
              <w:t>5.2. Kiti vienašalio Sutarties nutraukimo atvejai numatyti Sutarties bendrosios dalies 9.2 punkte.</w:t>
            </w:r>
          </w:p>
          <w:p w:rsidR="00534E56" w:rsidRPr="00A84F67" w:rsidRDefault="00534E56" w:rsidP="00534E56">
            <w:pPr>
              <w:jc w:val="both"/>
              <w:rPr>
                <w:b/>
              </w:rPr>
            </w:pPr>
          </w:p>
        </w:tc>
      </w:tr>
      <w:tr w:rsidR="00534E56" w:rsidTr="001A3760">
        <w:tc>
          <w:tcPr>
            <w:tcW w:w="10368" w:type="dxa"/>
            <w:shd w:val="clear" w:color="auto" w:fill="auto"/>
          </w:tcPr>
          <w:p w:rsidR="00534E56" w:rsidRPr="007A4D14" w:rsidRDefault="00534E56" w:rsidP="00534E56">
            <w:pPr>
              <w:rPr>
                <w:b/>
              </w:rPr>
            </w:pPr>
            <w:r w:rsidRPr="007A4D14">
              <w:rPr>
                <w:b/>
              </w:rPr>
              <w:t xml:space="preserve">6. Paslaugų kokybė </w:t>
            </w:r>
          </w:p>
          <w:p w:rsidR="00534E56" w:rsidRPr="00D14114" w:rsidRDefault="00534E56" w:rsidP="00534E56">
            <w:pPr>
              <w:jc w:val="both"/>
            </w:pPr>
            <w:r>
              <w:t>Teikiamos paslaugos</w:t>
            </w:r>
            <w:r w:rsidRPr="00D14114">
              <w:t xml:space="preserve"> privalo atitikti Sutartyje ir jos prieduose </w:t>
            </w:r>
            <w:r w:rsidRPr="00C33D3A">
              <w:t>nustatytus</w:t>
            </w:r>
            <w:r w:rsidRPr="00D14114">
              <w:t xml:space="preserve"> reikalavimus.</w:t>
            </w:r>
          </w:p>
          <w:p w:rsidR="00534E56" w:rsidRPr="00A84F67" w:rsidRDefault="00534E56" w:rsidP="00534E56">
            <w:pPr>
              <w:jc w:val="both"/>
              <w:rPr>
                <w:b/>
              </w:rPr>
            </w:pPr>
          </w:p>
        </w:tc>
      </w:tr>
      <w:tr w:rsidR="00534E56" w:rsidTr="001A3760">
        <w:tc>
          <w:tcPr>
            <w:tcW w:w="10368" w:type="dxa"/>
            <w:shd w:val="clear" w:color="auto" w:fill="auto"/>
          </w:tcPr>
          <w:p w:rsidR="00534E56" w:rsidRPr="00D14114" w:rsidRDefault="00534E56" w:rsidP="00534E56">
            <w:pPr>
              <w:jc w:val="both"/>
              <w:rPr>
                <w:b/>
              </w:rPr>
            </w:pPr>
            <w:r w:rsidRPr="00D14114">
              <w:rPr>
                <w:b/>
              </w:rPr>
              <w:lastRenderedPageBreak/>
              <w:t>7. Garantiniai įsipareigojimai</w:t>
            </w:r>
          </w:p>
          <w:p w:rsidR="00534E56" w:rsidRPr="00534E56" w:rsidRDefault="00534E56" w:rsidP="00534E56">
            <w:pPr>
              <w:jc w:val="both"/>
            </w:pPr>
            <w:r w:rsidRPr="00534E56">
              <w:t xml:space="preserve">7.1. </w:t>
            </w:r>
            <w:r w:rsidRPr="00534E56">
              <w:rPr>
                <w:b/>
              </w:rPr>
              <w:t>Teikėjo</w:t>
            </w:r>
            <w:r w:rsidRPr="00534E56">
              <w:t xml:space="preserve"> paslaugų teikimo metu Paslaugos pasiekiamumo lygis turi būti ne mažesnis, kaip 99,95% ir šios paslaugos turės būti teikiamos nepertraukiamai 7 dienas per savaitę ir 24 valandas per parą.</w:t>
            </w:r>
          </w:p>
          <w:p w:rsidR="00534E56" w:rsidRPr="00534E56" w:rsidRDefault="00534E56" w:rsidP="00534E56">
            <w:pPr>
              <w:jc w:val="both"/>
            </w:pPr>
            <w:r w:rsidRPr="00534E56">
              <w:t xml:space="preserve">7.2. Pirkėjui užregistravus sutrikimą el. paštu nurodytu Sutarties specialiosios dalies 9.9 punkte Sutrikimas </w:t>
            </w:r>
            <w:r w:rsidRPr="00534E56">
              <w:rPr>
                <w:b/>
              </w:rPr>
              <w:t>Teikėjo</w:t>
            </w:r>
            <w:r w:rsidRPr="00534E56">
              <w:t xml:space="preserve"> turi būti pašalintas ne vėliau kaip per 8 valandas nuo sutrikimo užregistravimo. </w:t>
            </w:r>
          </w:p>
        </w:tc>
      </w:tr>
      <w:tr w:rsidR="00534E56" w:rsidTr="00D61A01">
        <w:trPr>
          <w:trHeight w:val="1031"/>
        </w:trPr>
        <w:tc>
          <w:tcPr>
            <w:tcW w:w="10368" w:type="dxa"/>
            <w:shd w:val="clear" w:color="auto" w:fill="auto"/>
          </w:tcPr>
          <w:p w:rsidR="00534E56" w:rsidRDefault="00534E56" w:rsidP="00534E56">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rsidR="00534E56" w:rsidRPr="007A4D14" w:rsidRDefault="00534E56" w:rsidP="00534E56">
            <w:pPr>
              <w:pStyle w:val="ListParagraph"/>
              <w:spacing w:line="240" w:lineRule="auto"/>
              <w:ind w:left="0"/>
              <w:jc w:val="both"/>
              <w:rPr>
                <w:b/>
                <w:color w:val="FF0000"/>
              </w:rPr>
            </w:pPr>
            <w:r>
              <w:t xml:space="preserve">8.1. </w:t>
            </w:r>
            <w:r w:rsidRPr="00D14114">
              <w:t>Sutarties įvykdymui užtikrinti draudimo bendrovės laidavimo rašto arba banko garantijos nebus reikalaujama.</w:t>
            </w:r>
          </w:p>
        </w:tc>
      </w:tr>
      <w:tr w:rsidR="00E05BDE" w:rsidTr="00171690">
        <w:trPr>
          <w:trHeight w:val="3194"/>
        </w:trPr>
        <w:tc>
          <w:tcPr>
            <w:tcW w:w="10368" w:type="dxa"/>
            <w:shd w:val="clear" w:color="auto" w:fill="auto"/>
          </w:tcPr>
          <w:p w:rsidR="00E05BDE" w:rsidRPr="007A4D14" w:rsidRDefault="00E05BDE" w:rsidP="00E05BDE">
            <w:pPr>
              <w:ind w:right="-15"/>
              <w:jc w:val="both"/>
              <w:rPr>
                <w:b/>
              </w:rPr>
            </w:pPr>
            <w:r w:rsidRPr="007A4D14">
              <w:rPr>
                <w:b/>
              </w:rPr>
              <w:t>9. Kitos sąlygos</w:t>
            </w:r>
          </w:p>
          <w:p w:rsidR="00E05BDE" w:rsidRPr="00D14114" w:rsidRDefault="00E05BDE" w:rsidP="00E05BDE">
            <w:pPr>
              <w:ind w:right="-15"/>
              <w:jc w:val="both"/>
            </w:pPr>
            <w:r w:rsidRPr="00D14114">
              <w:t xml:space="preserve">9.1. Sutarties bendrosios dalies 11.1 punkte nurodytų Šalių iš anksto sutartų minimalių nuostolių dydis yra </w:t>
            </w:r>
            <w:r>
              <w:t xml:space="preserve">0,05 </w:t>
            </w:r>
            <w:r w:rsidRPr="00447613">
              <w:t xml:space="preserve">dydžio nuo nesuteiktų paslaugų ar paslaugų, kurių trūkumai neištaisyti kainos be PVM už kiekvieną pavėluotą </w:t>
            </w:r>
            <w:r>
              <w:t>valand</w:t>
            </w:r>
            <w:r w:rsidRPr="00447613">
              <w:t>ą.</w:t>
            </w:r>
          </w:p>
          <w:p w:rsidR="00E05BDE" w:rsidRPr="00D14114" w:rsidRDefault="00E05BDE" w:rsidP="00E05BDE">
            <w:pPr>
              <w:ind w:right="-15"/>
              <w:jc w:val="both"/>
            </w:pPr>
            <w:r w:rsidRPr="00D14114">
              <w:t>9.2. Sutarties bendrosios dalies 11.2 punkte nurodytų Šalių iš anksto sutartų minimalių nuostolių dydis yra</w:t>
            </w:r>
            <w:r>
              <w:t xml:space="preserve"> 7 (septyni) procentai </w:t>
            </w:r>
            <w:r w:rsidRPr="00D14114">
              <w:rPr>
                <w:bCs/>
              </w:rPr>
              <w:t>nuo Sutarties</w:t>
            </w:r>
            <w:r>
              <w:rPr>
                <w:bCs/>
              </w:rPr>
              <w:t xml:space="preserve"> maksimalios </w:t>
            </w:r>
            <w:r w:rsidRPr="00D14114">
              <w:rPr>
                <w:bCs/>
              </w:rPr>
              <w:t xml:space="preserve"> kainos</w:t>
            </w:r>
            <w:r w:rsidRPr="001E58A3">
              <w:rPr>
                <w:b/>
                <w:bCs/>
              </w:rPr>
              <w:t xml:space="preserve"> </w:t>
            </w:r>
            <w:r w:rsidRPr="001E58A3">
              <w:rPr>
                <w:bCs/>
              </w:rPr>
              <w:t>be PVM.</w:t>
            </w:r>
          </w:p>
          <w:p w:rsidR="00E05BDE" w:rsidRPr="00D14114" w:rsidRDefault="00E05BDE" w:rsidP="00E05BDE">
            <w:pPr>
              <w:ind w:right="-15"/>
              <w:jc w:val="both"/>
            </w:pPr>
            <w:r w:rsidRPr="00D14114">
              <w:t>9.3. Sutarties bendrosios dalies 11.</w:t>
            </w:r>
            <w:r>
              <w:t>3</w:t>
            </w:r>
            <w:r w:rsidRPr="00D14114">
              <w:t xml:space="preserve"> punkte numatytų Šalių iš anksto sutartų minimalių nuostolių dydis –</w:t>
            </w:r>
            <w:r>
              <w:t xml:space="preserve"> </w:t>
            </w:r>
            <w:r w:rsidRPr="00447613">
              <w:t>10 (dešimt) procentų nuo nesutei</w:t>
            </w:r>
            <w:r>
              <w:t>ktų arba suteiktų su trūkumais P</w:t>
            </w:r>
            <w:r w:rsidRPr="00447613">
              <w:t>aslaugų kainos be PVM</w:t>
            </w:r>
            <w:r>
              <w:t>.</w:t>
            </w:r>
          </w:p>
          <w:p w:rsidR="00E05BDE" w:rsidRDefault="00E05BDE" w:rsidP="00E05BDE">
            <w:pPr>
              <w:ind w:right="-15"/>
              <w:jc w:val="both"/>
            </w:pPr>
            <w:r>
              <w:t>9.4</w:t>
            </w:r>
            <w:r w:rsidRPr="00D14114">
              <w:t>. Nenugalimos jėgos aplinkybių trukmė –</w:t>
            </w:r>
            <w:r>
              <w:t xml:space="preserve">14 (keturiolika) </w:t>
            </w:r>
            <w:r w:rsidRPr="00D14114">
              <w:t>dienų, taikant Sutarties bendrosios dalies 9.1.2 punkto sąlygas.</w:t>
            </w:r>
          </w:p>
          <w:p w:rsidR="00E05BDE" w:rsidRDefault="00E05BDE" w:rsidP="00E05BDE">
            <w:pPr>
              <w:ind w:right="-15"/>
              <w:jc w:val="both"/>
            </w:pPr>
            <w:r>
              <w:t xml:space="preserve">9.5. </w:t>
            </w:r>
            <w:r>
              <w:rPr>
                <w:b/>
              </w:rPr>
              <w:t>Teikėjas</w:t>
            </w:r>
            <w:r>
              <w:t xml:space="preserve"> šiai Sutarčiai vykdyti pasitelks subtiekėją (-</w:t>
            </w:r>
            <w:proofErr w:type="spellStart"/>
            <w:r>
              <w:t>us</w:t>
            </w:r>
            <w:proofErr w:type="spellEnd"/>
            <w:r>
              <w:t>): (</w:t>
            </w:r>
            <w:r>
              <w:rPr>
                <w:i/>
              </w:rPr>
              <w:t>nurodomas subtiekėjo (-ų) pavadinimas) arba</w:t>
            </w:r>
            <w:r>
              <w:t xml:space="preserve"> </w:t>
            </w:r>
            <w:r>
              <w:rPr>
                <w:b/>
              </w:rPr>
              <w:t>Teikėjas</w:t>
            </w:r>
            <w:r>
              <w:t xml:space="preserve"> šiai Sutarčiai vykdyti subtiekėjo (-ų) nepasitelks </w:t>
            </w:r>
            <w:r>
              <w:rPr>
                <w:i/>
              </w:rPr>
              <w:t>(jei subtiekėjas nebus pasitelktas)</w:t>
            </w:r>
            <w:r>
              <w:t>.</w:t>
            </w:r>
          </w:p>
          <w:p w:rsidR="00E05BDE" w:rsidRDefault="00E05BDE" w:rsidP="00E05BDE">
            <w:pPr>
              <w:ind w:right="-15"/>
              <w:jc w:val="both"/>
            </w:pPr>
            <w:r>
              <w:t>9.6. Teikėjo pasiūlyme nurodytas subtiekėjas (-ai) gali būti pakeičiamas (-i) kitu (-</w:t>
            </w:r>
            <w:proofErr w:type="spellStart"/>
            <w:r>
              <w:t>ais</w:t>
            </w:r>
            <w:proofErr w:type="spellEnd"/>
            <w:r>
              <w:t>) Sutartyje nenurodytu (-</w:t>
            </w:r>
            <w:proofErr w:type="spellStart"/>
            <w:r>
              <w:t>ais</w:t>
            </w:r>
            <w:proofErr w:type="spellEnd"/>
            <w:r>
              <w:t>) subtiekėju (-</w:t>
            </w:r>
            <w:proofErr w:type="spellStart"/>
            <w:r>
              <w:t>ais</w:t>
            </w:r>
            <w:proofErr w:type="spellEnd"/>
            <w:r>
              <w:t>) tik šiais atvejais:</w:t>
            </w:r>
          </w:p>
          <w:p w:rsidR="00E05BDE" w:rsidRDefault="00E05BDE" w:rsidP="00E05BDE">
            <w:pPr>
              <w:ind w:right="-15"/>
              <w:jc w:val="both"/>
            </w:pPr>
            <w:r>
              <w:t>9.6.1. kai subtiekėjas (-ai) bankrutuoja, yra likviduojamas ar susidaro analogiška situacija;</w:t>
            </w:r>
          </w:p>
          <w:p w:rsidR="00E05BDE" w:rsidRDefault="00E05BDE" w:rsidP="00E05BDE">
            <w:pPr>
              <w:ind w:right="-15"/>
              <w:jc w:val="both"/>
            </w:pPr>
            <w:r>
              <w:t>9.6.2. kai subtiekėjas (-ai) dėl objektyvių priežasčių (nutrūkus teisiniams santykiams su Teikėju, subtiekėjui atsisakius teikti Paslaugas, subtiekėjo specialistui išėjus atostogų, susirgus, susižeidus, mirus, subtiekėjui netekus veiklos licencijos ir pan.) nebegali teikti visų ar dalies Sutartyje nurodytų Paslaugų.</w:t>
            </w:r>
          </w:p>
          <w:p w:rsidR="00E05BDE" w:rsidRDefault="00E05BDE" w:rsidP="00E05BDE">
            <w:pPr>
              <w:ind w:right="-15"/>
              <w:jc w:val="both"/>
            </w:pPr>
            <w:r>
              <w:t>9.6.3.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t>ams</w:t>
            </w:r>
            <w:proofErr w:type="spellEnd"/>
            <w:r>
              <w:t>)/suteikėjui (-</w:t>
            </w:r>
            <w:proofErr w:type="spellStart"/>
            <w:r>
              <w:t>ams</w:t>
            </w:r>
            <w:proofErr w:type="spellEnd"/>
            <w:r>
              <w:t>)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rsidR="00E05BDE" w:rsidRDefault="00E05BDE" w:rsidP="00E05BDE">
            <w:pPr>
              <w:ind w:right="-15"/>
              <w:jc w:val="both"/>
            </w:pPr>
            <w:r>
              <w:t xml:space="preserve">9.6.4. Teikėjas privalo nedelsiant informuoti apie Sutarties specialiosios dalies 9.6 punkte minėtos informacijos </w:t>
            </w:r>
            <w:proofErr w:type="spellStart"/>
            <w:r>
              <w:t>pasikeitimus</w:t>
            </w:r>
            <w:proofErr w:type="spellEnd"/>
            <w:r>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rsidR="00E05BDE" w:rsidRDefault="00E05BDE" w:rsidP="00E05BDE">
            <w:pPr>
              <w:ind w:right="-15"/>
              <w:jc w:val="both"/>
            </w:pPr>
            <w:r>
              <w:t>9.7. Teikėjas privalo nedelsiant informuoti Pirkėją, jeigu Sutarties vykdymo metu pasikeistų Teikėjo ir su juo susijusių subjektų duomenys ir informacija, kuri buvo pateikta Pirkėjui pasiūlymo pateikimo momentu.</w:t>
            </w:r>
          </w:p>
          <w:p w:rsidR="00E05BDE" w:rsidRPr="00D14114" w:rsidRDefault="00E05BDE" w:rsidP="00E05BDE">
            <w:pPr>
              <w:ind w:right="-15"/>
              <w:jc w:val="both"/>
            </w:pPr>
            <w:r>
              <w:t>9.9</w:t>
            </w:r>
            <w:r w:rsidRPr="00D14114">
              <w:t xml:space="preserve">. </w:t>
            </w:r>
            <w:r w:rsidRPr="00056A9A">
              <w:rPr>
                <w:b/>
              </w:rPr>
              <w:t>Teikėjo</w:t>
            </w:r>
            <w:r w:rsidRPr="00D14114">
              <w:t xml:space="preserve"> atstovas</w:t>
            </w:r>
            <w:r>
              <w:t xml:space="preserve"> </w:t>
            </w:r>
            <w:r w:rsidRPr="00D14114">
              <w:t xml:space="preserve">(ai) – </w:t>
            </w:r>
          </w:p>
          <w:p w:rsidR="00E05BDE" w:rsidRPr="00D14114" w:rsidRDefault="00E05BDE" w:rsidP="00E05BDE">
            <w:pPr>
              <w:ind w:right="-15"/>
              <w:jc w:val="both"/>
            </w:pPr>
            <w:r>
              <w:t>9.10</w:t>
            </w:r>
            <w:r w:rsidRPr="00D14114">
              <w:t xml:space="preserve">. </w:t>
            </w:r>
            <w:r w:rsidRPr="00056A9A">
              <w:rPr>
                <w:b/>
              </w:rPr>
              <w:t>Pirkėjo</w:t>
            </w:r>
            <w:r w:rsidRPr="00D14114">
              <w:t xml:space="preserve"> atstovas</w:t>
            </w:r>
            <w:r>
              <w:t xml:space="preserve"> </w:t>
            </w:r>
            <w:r w:rsidRPr="00D14114">
              <w:t xml:space="preserve">(ai) - </w:t>
            </w:r>
          </w:p>
          <w:p w:rsidR="00E05BDE" w:rsidRDefault="00E05BDE" w:rsidP="00E05BDE">
            <w:pPr>
              <w:ind w:right="-15"/>
              <w:jc w:val="both"/>
            </w:pPr>
            <w:r>
              <w:t>9.11</w:t>
            </w:r>
            <w:r w:rsidRPr="00D14114">
              <w:t xml:space="preserve">. </w:t>
            </w:r>
            <w:r>
              <w:t>A</w:t>
            </w:r>
            <w:r>
              <w:rPr>
                <w:color w:val="000000"/>
              </w:rPr>
              <w:t xml:space="preserve">smuo, atsakingas už Sutarties ir pakeitimų paskelbimą </w:t>
            </w:r>
            <w:r w:rsidRPr="008256FA">
              <w:rPr>
                <w:i/>
                <w:color w:val="000000"/>
              </w:rPr>
              <w:t>(nurodoma tik pagal VPĮ)</w:t>
            </w:r>
            <w:r>
              <w:rPr>
                <w:color w:val="000000"/>
              </w:rPr>
              <w:t>......................</w:t>
            </w:r>
            <w:r>
              <w:rPr>
                <w:i/>
                <w:color w:val="000000"/>
              </w:rPr>
              <w:t xml:space="preserve"> </w:t>
            </w:r>
          </w:p>
          <w:p w:rsidR="00E05BDE" w:rsidRPr="00FA214E" w:rsidRDefault="00E05BDE" w:rsidP="00E05BDE">
            <w:pPr>
              <w:ind w:right="-15"/>
              <w:jc w:val="both"/>
            </w:pPr>
            <w:r>
              <w:t xml:space="preserve">9.12. </w:t>
            </w:r>
            <w:r w:rsidRPr="00D14114">
              <w:t>Sutarties priedai:</w:t>
            </w:r>
            <w:r>
              <w:t xml:space="preserve"> </w:t>
            </w:r>
            <w:r w:rsidRPr="003F755B">
              <w:rPr>
                <w:color w:val="000000"/>
              </w:rPr>
              <w:t>-</w:t>
            </w:r>
          </w:p>
          <w:p w:rsidR="00E05BDE" w:rsidRDefault="00E05BDE" w:rsidP="00E05BDE">
            <w:pPr>
              <w:shd w:val="clear" w:color="auto" w:fill="FFFFFF"/>
              <w:jc w:val="both"/>
              <w:rPr>
                <w:bCs/>
                <w:lang w:eastAsia="en-US"/>
              </w:rPr>
            </w:pPr>
            <w:r>
              <w:t>9.12</w:t>
            </w:r>
            <w:r w:rsidRPr="00212887">
              <w:t>.1</w:t>
            </w:r>
            <w:r>
              <w:rPr>
                <w:b/>
              </w:rPr>
              <w:t xml:space="preserve">. </w:t>
            </w:r>
            <w:r>
              <w:t>1</w:t>
            </w:r>
            <w:r w:rsidRPr="009C7ECF">
              <w:t xml:space="preserve"> priedas </w:t>
            </w:r>
            <w:r w:rsidRPr="00DD36E8">
              <w:rPr>
                <w:bCs/>
                <w:lang w:eastAsia="en-US"/>
              </w:rPr>
              <w:t>„</w:t>
            </w:r>
            <w:r w:rsidRPr="00E05BDE">
              <w:rPr>
                <w:bCs/>
                <w:lang w:eastAsia="en-US"/>
              </w:rPr>
              <w:t>Kvalifikuotų elektroninių laiko žymų paslaugų įkainiai</w:t>
            </w:r>
            <w:r w:rsidRPr="00064CDC">
              <w:rPr>
                <w:bCs/>
                <w:lang w:eastAsia="en-US"/>
              </w:rPr>
              <w:t>“</w:t>
            </w:r>
            <w:r>
              <w:rPr>
                <w:bCs/>
                <w:lang w:eastAsia="en-US"/>
              </w:rPr>
              <w:t xml:space="preserve">, </w:t>
            </w:r>
          </w:p>
          <w:p w:rsidR="00E05BDE" w:rsidRDefault="00E05BDE" w:rsidP="00E05BDE">
            <w:pPr>
              <w:shd w:val="clear" w:color="auto" w:fill="FFFFFF"/>
              <w:jc w:val="both"/>
              <w:rPr>
                <w:bCs/>
                <w:lang w:eastAsia="en-US"/>
              </w:rPr>
            </w:pPr>
            <w:r>
              <w:rPr>
                <w:bCs/>
                <w:lang w:eastAsia="en-US"/>
              </w:rPr>
              <w:t>9.12.2. 2 priedas</w:t>
            </w:r>
            <w:r w:rsidRPr="00DD36E8">
              <w:rPr>
                <w:bCs/>
                <w:lang w:eastAsia="en-US"/>
              </w:rPr>
              <w:t xml:space="preserve"> „Kvalifikuotų elektroninių laiko žymų formavimo paslaugų techninė specifikacij</w:t>
            </w:r>
            <w:r>
              <w:rPr>
                <w:bCs/>
                <w:lang w:eastAsia="en-US"/>
              </w:rPr>
              <w:t>a</w:t>
            </w:r>
            <w:r w:rsidRPr="00DD36E8">
              <w:rPr>
                <w:bCs/>
                <w:lang w:eastAsia="en-US"/>
              </w:rPr>
              <w:t>“</w:t>
            </w:r>
          </w:p>
          <w:p w:rsidR="00E05BDE" w:rsidRPr="00A84F67" w:rsidRDefault="00B73AB4" w:rsidP="00B73AB4">
            <w:pPr>
              <w:ind w:right="-15"/>
              <w:jc w:val="both"/>
              <w:rPr>
                <w:b/>
              </w:rPr>
            </w:pPr>
            <w:r>
              <w:rPr>
                <w:kern w:val="2"/>
                <w:lang w:eastAsia="en-US"/>
              </w:rPr>
              <w:t xml:space="preserve">9.12.3. </w:t>
            </w:r>
            <w:r w:rsidRPr="00B73AB4">
              <w:rPr>
                <w:kern w:val="2"/>
                <w:lang w:eastAsia="en-US"/>
              </w:rPr>
              <w:t>3 priedas „Sutarties vykdymui pasitelkiami subtiekėjai ir (ar) specialistai“</w:t>
            </w:r>
          </w:p>
        </w:tc>
      </w:tr>
      <w:tr w:rsidR="00E05BDE" w:rsidTr="001A3760">
        <w:trPr>
          <w:trHeight w:val="573"/>
        </w:trPr>
        <w:tc>
          <w:tcPr>
            <w:tcW w:w="10368" w:type="dxa"/>
            <w:shd w:val="clear" w:color="auto" w:fill="auto"/>
          </w:tcPr>
          <w:p w:rsidR="00E05BDE" w:rsidRPr="00D14114" w:rsidRDefault="00E05BDE" w:rsidP="00E05BDE">
            <w:pPr>
              <w:rPr>
                <w:b/>
              </w:rPr>
            </w:pPr>
            <w:r w:rsidRPr="007D463B">
              <w:t>10</w:t>
            </w:r>
            <w:r w:rsidRPr="00D14114">
              <w:t>.</w:t>
            </w:r>
            <w:r w:rsidRPr="00D14114">
              <w:rPr>
                <w:b/>
              </w:rPr>
              <w:t xml:space="preserve"> Sutarties galiojimas</w:t>
            </w:r>
          </w:p>
          <w:p w:rsidR="00E05BDE" w:rsidRPr="00D14114" w:rsidRDefault="00E05BDE" w:rsidP="00E05BDE">
            <w:pPr>
              <w:rPr>
                <w:bCs/>
              </w:rPr>
            </w:pPr>
            <w:r w:rsidRPr="00D14114">
              <w:rPr>
                <w:bCs/>
              </w:rPr>
              <w:t xml:space="preserve">10.1. </w:t>
            </w:r>
            <w:r w:rsidRPr="00EB4422">
              <w:rPr>
                <w:bCs/>
              </w:rPr>
              <w:t>Sutartis galioja</w:t>
            </w:r>
            <w:r>
              <w:rPr>
                <w:bCs/>
              </w:rPr>
              <w:t xml:space="preserve"> 36 mėn. nuo Sutarties įsigaliojimo dienos, o finansinių ir garantinių įsipareigojimų atžvilgiu – iki visiško finansinių ir garantinių įsipareigojimų įvykdymo. </w:t>
            </w:r>
          </w:p>
          <w:p w:rsidR="00E05BDE" w:rsidRPr="00D14114" w:rsidRDefault="00E05BDE" w:rsidP="00E05BDE">
            <w:pPr>
              <w:rPr>
                <w:b/>
              </w:rPr>
            </w:pPr>
            <w:r w:rsidRPr="00D14114">
              <w:t>10.2.</w:t>
            </w:r>
            <w:r w:rsidRPr="00D14114">
              <w:rPr>
                <w:b/>
              </w:rPr>
              <w:t xml:space="preserve"> </w:t>
            </w:r>
            <w:r w:rsidRPr="00D14114">
              <w:t xml:space="preserve">Sutarties pratęsimas </w:t>
            </w:r>
            <w:r>
              <w:t>nenumatytas.</w:t>
            </w:r>
            <w:r w:rsidRPr="00D14114">
              <w:rPr>
                <w:b/>
              </w:rPr>
              <w:t xml:space="preserve"> </w:t>
            </w:r>
          </w:p>
          <w:p w:rsidR="00E05BDE" w:rsidRPr="00A84F67" w:rsidRDefault="00E05BDE" w:rsidP="00E05BDE">
            <w:pPr>
              <w:jc w:val="both"/>
              <w:rPr>
                <w:b/>
              </w:rPr>
            </w:pPr>
          </w:p>
        </w:tc>
      </w:tr>
      <w:tr w:rsidR="00E05BDE" w:rsidTr="001A3760">
        <w:trPr>
          <w:trHeight w:val="695"/>
        </w:trPr>
        <w:tc>
          <w:tcPr>
            <w:tcW w:w="10368" w:type="dxa"/>
            <w:shd w:val="clear" w:color="auto" w:fill="auto"/>
          </w:tcPr>
          <w:p w:rsidR="00E05BDE" w:rsidRPr="007A4D14" w:rsidRDefault="00E05BDE" w:rsidP="00E05BDE">
            <w:pPr>
              <w:rPr>
                <w:b/>
              </w:rPr>
            </w:pPr>
            <w:r w:rsidRPr="007A4D14">
              <w:rPr>
                <w:b/>
              </w:rPr>
              <w:lastRenderedPageBreak/>
              <w:t>11. Pirkėjo rekvizitai</w:t>
            </w:r>
          </w:p>
          <w:p w:rsidR="00C53013" w:rsidRPr="00B73AB4" w:rsidRDefault="00C53013" w:rsidP="00C53013">
            <w:pPr>
              <w:jc w:val="both"/>
              <w:rPr>
                <w:iCs/>
              </w:rPr>
            </w:pPr>
            <w:r w:rsidRPr="00B73AB4">
              <w:rPr>
                <w:iCs/>
              </w:rPr>
              <w:t xml:space="preserve">Lietuvos kariuomenės Kibernetinės gynybos valdybos Informacinių technologijų tarnyba </w:t>
            </w:r>
          </w:p>
          <w:p w:rsidR="00C53013" w:rsidRPr="00B73AB4" w:rsidRDefault="00C53013" w:rsidP="00C53013">
            <w:pPr>
              <w:jc w:val="both"/>
              <w:rPr>
                <w:iCs/>
              </w:rPr>
            </w:pPr>
            <w:r w:rsidRPr="00B73AB4">
              <w:rPr>
                <w:b/>
                <w:iCs/>
              </w:rPr>
              <w:t xml:space="preserve">Kodas: </w:t>
            </w:r>
            <w:r w:rsidRPr="00B73AB4">
              <w:rPr>
                <w:iCs/>
              </w:rPr>
              <w:t>307054683</w:t>
            </w:r>
          </w:p>
          <w:p w:rsidR="00C53013" w:rsidRPr="00B73AB4" w:rsidRDefault="00C53013" w:rsidP="00C53013">
            <w:pPr>
              <w:jc w:val="both"/>
              <w:rPr>
                <w:iCs/>
              </w:rPr>
            </w:pPr>
            <w:r w:rsidRPr="00B73AB4">
              <w:rPr>
                <w:b/>
                <w:iCs/>
              </w:rPr>
              <w:t xml:space="preserve">Adresas: </w:t>
            </w:r>
            <w:r w:rsidRPr="00B73AB4">
              <w:rPr>
                <w:iCs/>
              </w:rPr>
              <w:t>Šilo g. 5A, LT-10322 Vilnius</w:t>
            </w:r>
          </w:p>
          <w:p w:rsidR="00C53013" w:rsidRPr="00B73AB4" w:rsidRDefault="00C53013" w:rsidP="00C53013">
            <w:pPr>
              <w:jc w:val="both"/>
              <w:rPr>
                <w:iCs/>
              </w:rPr>
            </w:pPr>
            <w:r w:rsidRPr="00B73AB4">
              <w:rPr>
                <w:b/>
                <w:iCs/>
              </w:rPr>
              <w:t>Atsiskaitomoji sąskaita:</w:t>
            </w:r>
            <w:r w:rsidRPr="00B73AB4">
              <w:rPr>
                <w:iCs/>
              </w:rPr>
              <w:t xml:space="preserve"> LT62 40400 63610 001175</w:t>
            </w:r>
          </w:p>
          <w:p w:rsidR="00C53013" w:rsidRPr="00B73AB4" w:rsidRDefault="00C53013" w:rsidP="00C53013">
            <w:pPr>
              <w:jc w:val="both"/>
              <w:rPr>
                <w:iCs/>
              </w:rPr>
            </w:pPr>
            <w:r w:rsidRPr="00B73AB4">
              <w:rPr>
                <w:b/>
                <w:iCs/>
              </w:rPr>
              <w:t>Banko pavadinimas:</w:t>
            </w:r>
            <w:r w:rsidRPr="00B73AB4">
              <w:rPr>
                <w:iCs/>
              </w:rPr>
              <w:t xml:space="preserve"> Lietuvos Respublikos finansų ministerija</w:t>
            </w:r>
          </w:p>
          <w:p w:rsidR="00C53013" w:rsidRPr="00B73AB4" w:rsidRDefault="00C53013" w:rsidP="00C53013">
            <w:pPr>
              <w:jc w:val="both"/>
              <w:rPr>
                <w:iCs/>
              </w:rPr>
            </w:pPr>
            <w:r w:rsidRPr="00B73AB4">
              <w:rPr>
                <w:b/>
                <w:iCs/>
              </w:rPr>
              <w:t>Banko kodas:</w:t>
            </w:r>
            <w:r w:rsidRPr="00B73AB4">
              <w:rPr>
                <w:iCs/>
              </w:rPr>
              <w:t xml:space="preserve"> 40 400</w:t>
            </w:r>
          </w:p>
          <w:p w:rsidR="00C53013" w:rsidRPr="00B73AB4" w:rsidRDefault="00C53013" w:rsidP="00C53013">
            <w:pPr>
              <w:jc w:val="both"/>
              <w:rPr>
                <w:iCs/>
              </w:rPr>
            </w:pPr>
            <w:r w:rsidRPr="00B73AB4">
              <w:rPr>
                <w:b/>
                <w:iCs/>
              </w:rPr>
              <w:t xml:space="preserve">SWIFT kodas: </w:t>
            </w:r>
            <w:r w:rsidRPr="00B73AB4">
              <w:rPr>
                <w:iCs/>
              </w:rPr>
              <w:t>MFRLLT22XXX</w:t>
            </w:r>
          </w:p>
          <w:p w:rsidR="00C53013" w:rsidRPr="00C53013" w:rsidRDefault="00C53013" w:rsidP="00C53013">
            <w:pPr>
              <w:jc w:val="both"/>
            </w:pPr>
            <w:r w:rsidRPr="00C53013">
              <w:t>Tel.+370 5 273 5751</w:t>
            </w:r>
          </w:p>
          <w:p w:rsidR="00E05BDE" w:rsidRPr="007D463B" w:rsidRDefault="00C53013" w:rsidP="00C53013">
            <w:pPr>
              <w:jc w:val="both"/>
            </w:pPr>
            <w:r w:rsidRPr="00C53013">
              <w:t xml:space="preserve">el. p. </w:t>
            </w:r>
            <w:hyperlink r:id="rId9" w:history="1">
              <w:r w:rsidRPr="00C53013">
                <w:rPr>
                  <w:rStyle w:val="Hyperlink"/>
                </w:rPr>
                <w:t>itt@mil.lt</w:t>
              </w:r>
            </w:hyperlink>
          </w:p>
        </w:tc>
      </w:tr>
      <w:tr w:rsidR="00E05BDE" w:rsidTr="001A3760">
        <w:trPr>
          <w:trHeight w:val="695"/>
        </w:trPr>
        <w:tc>
          <w:tcPr>
            <w:tcW w:w="10368" w:type="dxa"/>
            <w:shd w:val="clear" w:color="auto" w:fill="auto"/>
          </w:tcPr>
          <w:p w:rsidR="00E05BDE" w:rsidRPr="007A4D14" w:rsidRDefault="00E05BDE" w:rsidP="00E05BDE">
            <w:pPr>
              <w:rPr>
                <w:b/>
              </w:rPr>
            </w:pPr>
            <w:r>
              <w:rPr>
                <w:b/>
              </w:rPr>
              <w:t xml:space="preserve">12. </w:t>
            </w:r>
            <w:r w:rsidRPr="007A4D14">
              <w:rPr>
                <w:b/>
              </w:rPr>
              <w:t>Teikėjo rekvizitai</w:t>
            </w:r>
          </w:p>
        </w:tc>
      </w:tr>
      <w:tr w:rsidR="00E05BDE" w:rsidTr="001A3760">
        <w:trPr>
          <w:trHeight w:val="695"/>
        </w:trPr>
        <w:tc>
          <w:tcPr>
            <w:tcW w:w="10368" w:type="dxa"/>
            <w:shd w:val="clear" w:color="auto" w:fill="auto"/>
          </w:tcPr>
          <w:p w:rsidR="00E05BDE" w:rsidRPr="007A4D14" w:rsidRDefault="00E05BDE" w:rsidP="00E05BDE">
            <w:pPr>
              <w:rPr>
                <w:b/>
              </w:rPr>
            </w:pPr>
            <w:r w:rsidRPr="007A4D14">
              <w:rPr>
                <w:b/>
              </w:rPr>
              <w:t>1</w:t>
            </w:r>
            <w:r>
              <w:rPr>
                <w:b/>
              </w:rPr>
              <w:t>3</w:t>
            </w:r>
            <w:r w:rsidRPr="007A4D14">
              <w:rPr>
                <w:b/>
              </w:rPr>
              <w:t xml:space="preserve">. </w:t>
            </w:r>
            <w:r>
              <w:rPr>
                <w:b/>
              </w:rPr>
              <w:t>Mokėtojo rekvizitai</w:t>
            </w:r>
            <w:r w:rsidRPr="007A4D14">
              <w:rPr>
                <w:b/>
              </w:rPr>
              <w:t xml:space="preserve"> </w:t>
            </w:r>
          </w:p>
          <w:p w:rsidR="00C53013" w:rsidRDefault="00C53013" w:rsidP="00C53013">
            <w:pPr>
              <w:jc w:val="both"/>
            </w:pPr>
            <w:r>
              <w:t>Lietuvos kariuomenė</w:t>
            </w:r>
          </w:p>
          <w:p w:rsidR="00C53013" w:rsidRDefault="00C53013" w:rsidP="00C53013">
            <w:pPr>
              <w:jc w:val="both"/>
            </w:pPr>
            <w:r w:rsidRPr="00B73AB4">
              <w:rPr>
                <w:b/>
              </w:rPr>
              <w:t>Kodas:</w:t>
            </w:r>
            <w:r>
              <w:t xml:space="preserve"> 188732677</w:t>
            </w:r>
          </w:p>
          <w:p w:rsidR="00E05BDE" w:rsidRPr="007D463B" w:rsidRDefault="00B73AB4" w:rsidP="00C53013">
            <w:pPr>
              <w:jc w:val="both"/>
            </w:pPr>
            <w:r w:rsidRPr="00B73AB4">
              <w:rPr>
                <w:b/>
              </w:rPr>
              <w:t>Adresas:</w:t>
            </w:r>
            <w:r>
              <w:t xml:space="preserve"> </w:t>
            </w:r>
            <w:r w:rsidR="00C53013">
              <w:t>Šv. Ignoto g. 8, LT-01144 Vilnius</w:t>
            </w:r>
          </w:p>
        </w:tc>
      </w:tr>
    </w:tbl>
    <w:p w:rsidR="00BB5EA8" w:rsidRDefault="00BB5EA8" w:rsidP="00D14114">
      <w:pPr>
        <w:pStyle w:val="BodyText1"/>
        <w:ind w:firstLine="0"/>
        <w:rPr>
          <w:rFonts w:ascii="Times New Roman" w:eastAsia="Times New Roman" w:hAnsi="Times New Roman"/>
          <w:b/>
          <w:lang w:val="lt-LT" w:eastAsia="en-US"/>
        </w:rPr>
      </w:pPr>
    </w:p>
    <w:p w:rsidR="00BB5EA8" w:rsidRDefault="00BB5EA8" w:rsidP="00D14114">
      <w:pPr>
        <w:pStyle w:val="BodyText1"/>
        <w:ind w:firstLine="0"/>
        <w:rPr>
          <w:rFonts w:ascii="Times New Roman" w:eastAsia="Times New Roman" w:hAnsi="Times New Roman"/>
          <w:b/>
          <w:lang w:val="lt-LT" w:eastAsia="en-US"/>
        </w:rPr>
      </w:pPr>
    </w:p>
    <w:p w:rsidR="00D14114" w:rsidRDefault="00D14114" w:rsidP="00A43A14">
      <w:pPr>
        <w:pStyle w:val="BodyText1"/>
        <w:ind w:hanging="284"/>
        <w:rPr>
          <w:rFonts w:ascii="Times New Roman" w:hAnsi="Times New Roman"/>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A43A14">
        <w:rPr>
          <w:rFonts w:ascii="Times New Roman" w:hAnsi="Times New Roman"/>
          <w:sz w:val="24"/>
          <w:szCs w:val="24"/>
          <w:lang w:val="lt-LT"/>
        </w:rPr>
        <w:tab/>
      </w:r>
      <w:r w:rsidRPr="00C80325">
        <w:rPr>
          <w:rFonts w:ascii="Times New Roman" w:hAnsi="Times New Roman"/>
          <w:b/>
          <w:sz w:val="24"/>
          <w:szCs w:val="24"/>
          <w:lang w:val="lt-LT"/>
        </w:rPr>
        <w:t>TEIKĖJAS</w:t>
      </w:r>
    </w:p>
    <w:p w:rsidR="00DE25ED" w:rsidRDefault="00DE25ED" w:rsidP="00D14114">
      <w:pPr>
        <w:rPr>
          <w:b/>
        </w:rPr>
      </w:pPr>
    </w:p>
    <w:p w:rsidR="004F0846" w:rsidRDefault="008F30C9" w:rsidP="004F0846">
      <w:pPr>
        <w:rPr>
          <w:b/>
        </w:rPr>
      </w:pPr>
      <w:r>
        <w:br w:type="page"/>
      </w:r>
      <w:r w:rsidR="004F0846">
        <w:rPr>
          <w:b/>
        </w:rPr>
        <w:lastRenderedPageBreak/>
        <w:t xml:space="preserve"> </w:t>
      </w:r>
    </w:p>
    <w:p w:rsidR="006644F0" w:rsidRDefault="002A177A" w:rsidP="00A82359">
      <w:pPr>
        <w:jc w:val="center"/>
        <w:rPr>
          <w:b/>
        </w:rPr>
      </w:pPr>
      <w:r>
        <w:rPr>
          <w:b/>
        </w:rPr>
        <w:t>PASLAUGŲ PIRKIMO-PARDAVIMO SUTARTI</w:t>
      </w:r>
      <w:r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13714B" w:rsidRPr="00014F80" w:rsidRDefault="0013714B" w:rsidP="006644F0">
      <w:pPr>
        <w:jc w:val="center"/>
        <w:rPr>
          <w:b/>
        </w:rPr>
      </w:pPr>
    </w:p>
    <w:p w:rsidR="00024413" w:rsidRPr="00120A77" w:rsidRDefault="00024413" w:rsidP="00024413">
      <w:pP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68555C">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8555C" w:rsidRDefault="0068555C" w:rsidP="0068555C">
      <w:pPr>
        <w:jc w:val="both"/>
      </w:pPr>
      <w:r>
        <w:t>2.6. Su Sutarties specialiojoje dalyje nurodytu Subtiekėju (-</w:t>
      </w:r>
      <w:proofErr w:type="spellStart"/>
      <w:r>
        <w:t>ais</w:t>
      </w:r>
      <w:proofErr w:type="spellEnd"/>
      <w:r>
        <w:t xml:space="preserve">)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68555C" w:rsidRDefault="0068555C" w:rsidP="0068555C">
      <w:pPr>
        <w:jc w:val="both"/>
      </w:pPr>
      <w:r>
        <w:t xml:space="preserve">2.7.1. Pagrindines tiesioginio atsiskaitymo sutarties sąlygas nurodytas Sutarties bendrosios dalies 2.8 punkte. </w:t>
      </w:r>
    </w:p>
    <w:p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rsidR="0068555C" w:rsidRDefault="0068555C" w:rsidP="0068555C">
      <w:pPr>
        <w:jc w:val="both"/>
      </w:pPr>
      <w:r>
        <w:t>2.7.3. Dokumentus įrodančius, kad nėra V</w:t>
      </w:r>
      <w:r w:rsidR="00C16362">
        <w:t>iešųjų pirkimų įstatymo</w:t>
      </w:r>
      <w:r>
        <w:t xml:space="preserve"> 46 straipsnio 1 dalyje nurodytų pagrindų.</w:t>
      </w:r>
    </w:p>
    <w:p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1247E7">
        <w:rPr>
          <w:b/>
        </w:rPr>
        <w:t>Teikėjo</w:t>
      </w:r>
      <w:r>
        <w:t xml:space="preserve"> ir Subtiekėjo, papi</w:t>
      </w:r>
      <w:r w:rsidR="00DA0BB7">
        <w:t>ldomas prievolių, užtikrinimas</w:t>
      </w:r>
      <w:r>
        <w:t xml:space="preserve">. </w:t>
      </w:r>
    </w:p>
    <w:p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rsidR="0068555C" w:rsidRDefault="0068555C" w:rsidP="0068555C">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00BE22B2">
        <w:rPr>
          <w:b/>
        </w:rPr>
        <w:t>Teikėjui</w:t>
      </w:r>
      <w:r>
        <w:t xml:space="preserve"> iki reikalavimo teisės perdavimo.</w:t>
      </w:r>
    </w:p>
    <w:p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rsidR="0068555C" w:rsidRDefault="0068555C" w:rsidP="0068555C">
      <w:pPr>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w:t>
      </w:r>
      <w:r>
        <w:lastRenderedPageBreak/>
        <w:t>naudojantis informacine sistema „E. sąskaita“, atitinkamai taikomas tuo metu galiojantis teisinis reguliavimas.</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rsidR="009D2406"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rsidR="00BF295F" w:rsidRPr="000C0FE3" w:rsidRDefault="00BF295F" w:rsidP="00DB25C9">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BF295F" w:rsidRPr="002C6D35" w:rsidRDefault="00BF295F" w:rsidP="00BF295F">
      <w:pPr>
        <w:rPr>
          <w:color w:val="0070C0"/>
          <w:sz w:val="20"/>
          <w:szCs w:val="20"/>
        </w:rPr>
      </w:pPr>
      <w:r w:rsidRPr="002C6D35">
        <w:rPr>
          <w:color w:val="0070C0"/>
          <w:sz w:val="20"/>
          <w:szCs w:val="20"/>
        </w:rPr>
        <w:t>Papildymas 3.4 p.: KA ministro įsakymas Nr. V-732 (2024-08-07)</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proofErr w:type="spellStart"/>
      <w:r w:rsidR="0035096C">
        <w:t>Avansinio</w:t>
      </w:r>
      <w:proofErr w:type="spellEnd"/>
      <w:r w:rsidR="0035096C">
        <w:t xml:space="preserve"> </w:t>
      </w:r>
      <w:proofErr w:type="spellStart"/>
      <w:r w:rsidR="00FB1183" w:rsidRPr="009B5716">
        <w:t>mokėjimo</w:t>
      </w:r>
      <w:proofErr w:type="spellEnd"/>
      <w:r w:rsidR="00FB1183" w:rsidRPr="009B5716">
        <w:rPr>
          <w:szCs w:val="20"/>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w:t>
      </w:r>
      <w:r w:rsidR="001026C4" w:rsidRPr="00395267">
        <w:rPr>
          <w:lang w:val="lt-LT"/>
        </w:rPr>
        <w:lastRenderedPageBreak/>
        <w:t xml:space="preserve">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lastRenderedPageBreak/>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EC508C" w:rsidRPr="00120A77" w:rsidRDefault="00EC508C"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rsidR="00024413" w:rsidRPr="00120A77" w:rsidRDefault="00AB5FFB" w:rsidP="00024413">
      <w:pPr>
        <w:jc w:val="both"/>
      </w:pPr>
      <w:r w:rsidRPr="00120A77">
        <w:lastRenderedPageBreak/>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rsidR="00DE34A4" w:rsidRDefault="00D16B17" w:rsidP="00D53F1A">
      <w:pPr>
        <w:jc w:val="both"/>
      </w:pPr>
      <w:r w:rsidRPr="00120A77">
        <w:lastRenderedPageBreak/>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0B10FF">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rsidR="003E04CF" w:rsidRDefault="003E04CF" w:rsidP="00024413">
      <w:pPr>
        <w:jc w:val="both"/>
      </w:pPr>
    </w:p>
    <w:p w:rsidR="00AD6769" w:rsidRPr="00EF7207" w:rsidRDefault="00AD6769"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rsidR="00395ABF" w:rsidRPr="008F30C9" w:rsidRDefault="00120A77" w:rsidP="00395ABF">
      <w:pPr>
        <w:jc w:val="both"/>
      </w:pPr>
      <w:r w:rsidRPr="008F30C9">
        <w:lastRenderedPageBreak/>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w:t>
      </w:r>
      <w:proofErr w:type="spellStart"/>
      <w:r>
        <w:t>subte</w:t>
      </w:r>
      <w:r w:rsidR="00C93213">
        <w:t>i</w:t>
      </w:r>
      <w:r>
        <w:t>kėjus</w:t>
      </w:r>
      <w:proofErr w:type="spellEnd"/>
      <w:r>
        <w:t xml:space="preserve">,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w:t>
      </w:r>
      <w:r>
        <w:lastRenderedPageBreak/>
        <w:t xml:space="preserve">tokie asmens duomenys, kurių sunaikinimas reikštų neprotingai dideles laiko ar finansines sąnaudas ar būtų nepateisinamas </w:t>
      </w:r>
      <w:r w:rsidR="00F833A5">
        <w:t>S</w:t>
      </w:r>
      <w:r>
        <w:t xml:space="preserve">utarties rezultato naudojimo tikslais. </w:t>
      </w:r>
    </w:p>
    <w:p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rsidR="00106FE6" w:rsidRDefault="00106FE6" w:rsidP="00106FE6">
      <w:pPr>
        <w:jc w:val="both"/>
      </w:pPr>
      <w:r>
        <w:t>14.10. Šalys neatlygina viena kitos patirtų išlaidų ir nuostolių dėl asmens duomenų tvarkymo įsipareigojimų pagal šią Sutartį vykdymo.</w:t>
      </w:r>
    </w:p>
    <w:p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rsidR="00DE080E" w:rsidRPr="00DE080E" w:rsidRDefault="00DE080E" w:rsidP="00024413">
      <w:pPr>
        <w:jc w:val="both"/>
      </w:pPr>
      <w:r w:rsidRPr="00DE080E">
        <w:t xml:space="preserve">15.9. </w:t>
      </w:r>
      <w:r w:rsidR="00AA297C">
        <w:rPr>
          <w:color w:val="000000"/>
        </w:rPr>
        <w:t xml:space="preserve">Sutarties vykdymo metu </w:t>
      </w:r>
      <w:r w:rsidR="00AA297C" w:rsidRPr="005B7473">
        <w:t>Sutartyje nurodytas (-i) subtiekėjas (-ai)/</w:t>
      </w:r>
      <w:proofErr w:type="spellStart"/>
      <w:r w:rsidR="00AA297C" w:rsidRPr="005B7473">
        <w:t>subteikėjas</w:t>
      </w:r>
      <w:proofErr w:type="spellEnd"/>
      <w:r w:rsidR="00AA297C" w:rsidRPr="005B7473">
        <w:t xml:space="preserve"> (-ai) gali būti keičiamas (-i) kitu (-</w:t>
      </w:r>
      <w:proofErr w:type="spellStart"/>
      <w:r w:rsidR="00AA297C" w:rsidRPr="005B7473">
        <w:t>ais</w:t>
      </w:r>
      <w:proofErr w:type="spellEnd"/>
      <w:r w:rsidR="00AA297C" w:rsidRPr="005B7473">
        <w:t>) subtiekėju (-</w:t>
      </w:r>
      <w:proofErr w:type="spellStart"/>
      <w:r w:rsidR="00AA297C" w:rsidRPr="005B7473">
        <w:t>ais</w:t>
      </w:r>
      <w:proofErr w:type="spellEnd"/>
      <w:r w:rsidR="00AA297C" w:rsidRPr="005B7473">
        <w:t>)/</w:t>
      </w:r>
      <w:proofErr w:type="spellStart"/>
      <w:r w:rsidR="00AA297C" w:rsidRPr="005B7473">
        <w:t>subteikėju</w:t>
      </w:r>
      <w:proofErr w:type="spellEnd"/>
      <w:r w:rsidR="00AA297C" w:rsidRPr="005B7473">
        <w:t xml:space="preserve"> (-</w:t>
      </w:r>
      <w:proofErr w:type="spellStart"/>
      <w:r w:rsidR="00AA297C" w:rsidRPr="005B7473">
        <w:t>ais</w:t>
      </w:r>
      <w:proofErr w:type="spellEnd"/>
      <w:r w:rsidR="00AA297C" w:rsidRPr="005B7473">
        <w:t xml:space="preserve">)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w:t>
      </w:r>
      <w:proofErr w:type="spellStart"/>
      <w:r w:rsidR="00AA297C" w:rsidRPr="005B7473">
        <w:t>subteikėjo</w:t>
      </w:r>
      <w:proofErr w:type="spellEnd"/>
      <w:r w:rsidR="00AA297C" w:rsidRPr="005B7473">
        <w:t xml:space="preserve"> (-ų) keitimas kitu galimas tik iš anksto raštu suderinus su </w:t>
      </w:r>
      <w:r w:rsidR="00AA297C" w:rsidRPr="005B7473">
        <w:rPr>
          <w:b/>
        </w:rPr>
        <w:t>Pirkėju</w:t>
      </w:r>
      <w:r w:rsidR="00AA297C" w:rsidRPr="005B7473">
        <w:t>. Prašymas dėl Sutartyje nustatyto subtiekėjo (ų</w:t>
      </w:r>
      <w:r w:rsidR="00AA297C">
        <w:t xml:space="preserve">)/ </w:t>
      </w:r>
      <w:proofErr w:type="spellStart"/>
      <w:r w:rsidR="00AA297C">
        <w:t>subteikėjo</w:t>
      </w:r>
      <w:proofErr w:type="spellEnd"/>
      <w:r w:rsidR="00AA297C">
        <w:t xml:space="preserve">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aujas subtiekėjas (-ai)/</w:t>
      </w:r>
      <w:proofErr w:type="spellStart"/>
      <w:r w:rsidR="00AA297C" w:rsidRPr="005B7473">
        <w:t>subteikėjas</w:t>
      </w:r>
      <w:proofErr w:type="spellEnd"/>
      <w:r w:rsidR="00AA297C" w:rsidRPr="005B7473">
        <w:t xml:space="preserve"> (ai) </w:t>
      </w:r>
      <w:r w:rsidR="00AA297C">
        <w:t>atitinka</w:t>
      </w:r>
      <w:r w:rsidR="00AA297C" w:rsidRPr="005B7473">
        <w:t xml:space="preserve"> visus subtiekėjui (-</w:t>
      </w:r>
      <w:proofErr w:type="spellStart"/>
      <w:r w:rsidR="00AA297C" w:rsidRPr="005B7473">
        <w:t>ams</w:t>
      </w:r>
      <w:proofErr w:type="spellEnd"/>
      <w:r w:rsidR="00AA297C" w:rsidRPr="005B7473">
        <w:t>)/</w:t>
      </w:r>
      <w:proofErr w:type="spellStart"/>
      <w:r w:rsidR="00AA297C" w:rsidRPr="005B7473">
        <w:t>su</w:t>
      </w:r>
      <w:r w:rsidR="00AA297C">
        <w:t>b</w:t>
      </w:r>
      <w:r w:rsidR="00AA297C" w:rsidRPr="005B7473">
        <w:t>teikėjui</w:t>
      </w:r>
      <w:proofErr w:type="spellEnd"/>
      <w:r w:rsidR="00AA297C" w:rsidRPr="005B7473">
        <w:t xml:space="preserve"> (-</w:t>
      </w:r>
      <w:proofErr w:type="spellStart"/>
      <w:r w:rsidR="00AA297C" w:rsidRPr="005B7473">
        <w:t>ams</w:t>
      </w:r>
      <w:proofErr w:type="spellEnd"/>
      <w:r w:rsidR="00AA297C" w:rsidRPr="005B7473">
        <w:t>)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w:t>
      </w:r>
      <w:proofErr w:type="spellStart"/>
      <w:r w:rsidR="00AA297C" w:rsidRPr="00EB3B83">
        <w:rPr>
          <w:color w:val="000000"/>
        </w:rPr>
        <w:t>subteikėjo</w:t>
      </w:r>
      <w:proofErr w:type="spellEnd"/>
      <w:r w:rsidR="00AA297C" w:rsidRPr="00EB3B83">
        <w:rPr>
          <w:color w:val="000000"/>
        </w:rPr>
        <w:t xml:space="preserve"> (-ų) pakeitimas kitu subtiekėju (-</w:t>
      </w:r>
      <w:proofErr w:type="spellStart"/>
      <w:r w:rsidR="00AA297C" w:rsidRPr="00EB3B83">
        <w:rPr>
          <w:color w:val="000000"/>
        </w:rPr>
        <w:t>ais</w:t>
      </w:r>
      <w:proofErr w:type="spellEnd"/>
      <w:r w:rsidR="00AA297C" w:rsidRPr="00EB3B83">
        <w:rPr>
          <w:color w:val="000000"/>
        </w:rPr>
        <w:t xml:space="preserve">)/ </w:t>
      </w:r>
      <w:proofErr w:type="spellStart"/>
      <w:r w:rsidR="00AA297C" w:rsidRPr="00EB3B83">
        <w:rPr>
          <w:color w:val="000000"/>
        </w:rPr>
        <w:t>subteikėju</w:t>
      </w:r>
      <w:proofErr w:type="spellEnd"/>
      <w:r w:rsidR="00AA297C" w:rsidRPr="00EB3B83">
        <w:rPr>
          <w:color w:val="000000"/>
        </w:rPr>
        <w:t xml:space="preserve"> (-</w:t>
      </w:r>
      <w:proofErr w:type="spellStart"/>
      <w:r w:rsidR="00AA297C" w:rsidRPr="00EB3B83">
        <w:rPr>
          <w:color w:val="000000"/>
        </w:rPr>
        <w:t>ais</w:t>
      </w:r>
      <w:proofErr w:type="spellEnd"/>
      <w:r w:rsidR="00AA297C" w:rsidRPr="00EB3B83">
        <w:rPr>
          <w:color w:val="000000"/>
        </w:rPr>
        <w:t>)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įforminamas rašytiniu Sutarties pakeitimu.</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Pr="00DE080E" w:rsidRDefault="00120A77" w:rsidP="00024413">
      <w:pPr>
        <w:jc w:val="both"/>
      </w:pPr>
      <w:r w:rsidRPr="00DE080E">
        <w:lastRenderedPageBreak/>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3E14F0" w:rsidRDefault="003E14F0" w:rsidP="00E45F66">
      <w:pPr>
        <w:widowControl w:val="0"/>
        <w:overflowPunct w:val="0"/>
        <w:autoSpaceDE w:val="0"/>
        <w:autoSpaceDN w:val="0"/>
        <w:adjustRightInd w:val="0"/>
        <w:spacing w:line="236" w:lineRule="auto"/>
        <w:ind w:left="8"/>
        <w:jc w:val="center"/>
      </w:pPr>
    </w:p>
    <w:p w:rsidR="0013714B" w:rsidRDefault="0013714B" w:rsidP="00E45F66">
      <w:pPr>
        <w:widowControl w:val="0"/>
        <w:overflowPunct w:val="0"/>
        <w:autoSpaceDE w:val="0"/>
        <w:autoSpaceDN w:val="0"/>
        <w:adjustRightInd w:val="0"/>
        <w:spacing w:line="236" w:lineRule="auto"/>
        <w:ind w:left="8"/>
        <w:jc w:val="center"/>
      </w:pPr>
    </w:p>
    <w:p w:rsidR="0013714B" w:rsidRDefault="0013714B" w:rsidP="008B6A78">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6725F2">
        <w:rPr>
          <w:rFonts w:ascii="Times New Roman" w:hAnsi="Times New Roman"/>
          <w:sz w:val="24"/>
          <w:szCs w:val="24"/>
          <w:lang w:val="lt-LT"/>
        </w:rPr>
        <w:tab/>
      </w:r>
      <w:r>
        <w:rPr>
          <w:rFonts w:ascii="Times New Roman" w:hAnsi="Times New Roman"/>
          <w:sz w:val="24"/>
          <w:szCs w:val="24"/>
          <w:lang w:val="lt-LT"/>
        </w:rPr>
        <w:t>TEIKĖJAS</w:t>
      </w:r>
    </w:p>
    <w:p w:rsidR="0013714B" w:rsidRDefault="0013714B" w:rsidP="008B6A78">
      <w:pPr>
        <w:pStyle w:val="BodyText1"/>
        <w:ind w:firstLine="0"/>
        <w:rPr>
          <w:b/>
        </w:rPr>
      </w:pPr>
    </w:p>
    <w:p w:rsidR="0013714B" w:rsidRDefault="0013714B" w:rsidP="008B6A78">
      <w:pPr>
        <w:pStyle w:val="BodyText1"/>
        <w:ind w:firstLine="0"/>
        <w:rPr>
          <w:b/>
        </w:rPr>
      </w:pPr>
    </w:p>
    <w:p w:rsidR="0013714B" w:rsidRDefault="0013714B" w:rsidP="008B6A78">
      <w:pPr>
        <w:pStyle w:val="BodyText1"/>
        <w:ind w:firstLine="0"/>
        <w:rPr>
          <w:b/>
        </w:rPr>
      </w:pPr>
    </w:p>
    <w:p w:rsidR="0013714B" w:rsidRPr="0060348F" w:rsidRDefault="0013714B" w:rsidP="008B6A78">
      <w:pPr>
        <w:pStyle w:val="BodyText1"/>
        <w:ind w:firstLine="0"/>
      </w:pPr>
      <w:r>
        <w:t>A. V.</w:t>
      </w:r>
      <w:r>
        <w:tab/>
      </w:r>
      <w:r>
        <w:tab/>
      </w:r>
      <w:r>
        <w:tab/>
      </w:r>
      <w:r>
        <w:tab/>
      </w:r>
      <w:r>
        <w:tab/>
      </w:r>
      <w:r>
        <w:tab/>
      </w:r>
      <w:r>
        <w:tab/>
      </w:r>
    </w:p>
    <w:p w:rsidR="0013714B" w:rsidRDefault="0013714B"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sectPr w:rsidR="004F0846" w:rsidSect="00CE25F6">
          <w:headerReference w:type="even" r:id="rId10"/>
          <w:headerReference w:type="default" r:id="rId11"/>
          <w:pgSz w:w="11906" w:h="16838"/>
          <w:pgMar w:top="993" w:right="566" w:bottom="993" w:left="1260" w:header="567" w:footer="567" w:gutter="0"/>
          <w:cols w:space="1296"/>
          <w:titlePg/>
          <w:docGrid w:linePitch="360"/>
        </w:sectPr>
      </w:pPr>
    </w:p>
    <w:tbl>
      <w:tblPr>
        <w:tblpPr w:leftFromText="180" w:rightFromText="180" w:tblpXSpec="right" w:tblpY="-840"/>
        <w:tblW w:w="3486" w:type="dxa"/>
        <w:tblLook w:val="01E0" w:firstRow="1" w:lastRow="1" w:firstColumn="1" w:lastColumn="1" w:noHBand="0" w:noVBand="0"/>
      </w:tblPr>
      <w:tblGrid>
        <w:gridCol w:w="3486"/>
      </w:tblGrid>
      <w:tr w:rsidR="004F0846" w:rsidRPr="004F0846" w:rsidTr="00816055">
        <w:trPr>
          <w:trHeight w:val="341"/>
        </w:trPr>
        <w:tc>
          <w:tcPr>
            <w:tcW w:w="3486" w:type="dxa"/>
            <w:hideMark/>
          </w:tcPr>
          <w:p w:rsidR="004F0846" w:rsidRPr="004F0846" w:rsidRDefault="004F0846" w:rsidP="004F0846">
            <w:pPr>
              <w:widowControl w:val="0"/>
              <w:overflowPunct w:val="0"/>
              <w:autoSpaceDE w:val="0"/>
              <w:autoSpaceDN w:val="0"/>
              <w:adjustRightInd w:val="0"/>
              <w:spacing w:line="236" w:lineRule="auto"/>
              <w:ind w:left="8"/>
            </w:pPr>
          </w:p>
          <w:p w:rsidR="004F0846" w:rsidRPr="004F0846" w:rsidRDefault="004F0846" w:rsidP="004F0846">
            <w:pPr>
              <w:widowControl w:val="0"/>
              <w:overflowPunct w:val="0"/>
              <w:autoSpaceDE w:val="0"/>
              <w:autoSpaceDN w:val="0"/>
              <w:adjustRightInd w:val="0"/>
              <w:spacing w:line="236" w:lineRule="auto"/>
              <w:ind w:left="8"/>
            </w:pPr>
          </w:p>
          <w:p w:rsidR="004F0846" w:rsidRPr="004F0846" w:rsidRDefault="004F0846" w:rsidP="004F0846">
            <w:pPr>
              <w:widowControl w:val="0"/>
              <w:overflowPunct w:val="0"/>
              <w:autoSpaceDE w:val="0"/>
              <w:autoSpaceDN w:val="0"/>
              <w:adjustRightInd w:val="0"/>
              <w:spacing w:line="236" w:lineRule="auto"/>
              <w:ind w:left="8"/>
            </w:pPr>
            <w:r w:rsidRPr="004F0846">
              <w:t>202</w:t>
            </w:r>
            <w:r>
              <w:t>6</w:t>
            </w:r>
            <w:r w:rsidRPr="004F0846">
              <w:t xml:space="preserve"> m. ................... mėn. ...... d.</w:t>
            </w:r>
          </w:p>
          <w:p w:rsidR="004F0846" w:rsidRPr="004F0846" w:rsidRDefault="004F0846" w:rsidP="004F0846">
            <w:pPr>
              <w:widowControl w:val="0"/>
              <w:overflowPunct w:val="0"/>
              <w:autoSpaceDE w:val="0"/>
              <w:autoSpaceDN w:val="0"/>
              <w:adjustRightInd w:val="0"/>
              <w:spacing w:line="236" w:lineRule="auto"/>
              <w:ind w:left="8"/>
            </w:pPr>
            <w:r w:rsidRPr="004F0846">
              <w:t>Sutarties Nr. ...............</w:t>
            </w:r>
          </w:p>
        </w:tc>
      </w:tr>
      <w:tr w:rsidR="004F0846" w:rsidRPr="004F0846" w:rsidTr="00816055">
        <w:trPr>
          <w:trHeight w:val="426"/>
        </w:trPr>
        <w:tc>
          <w:tcPr>
            <w:tcW w:w="3486" w:type="dxa"/>
            <w:hideMark/>
          </w:tcPr>
          <w:p w:rsidR="004F0846" w:rsidRPr="004F0846" w:rsidRDefault="004F0846" w:rsidP="004F0846">
            <w:pPr>
              <w:widowControl w:val="0"/>
              <w:overflowPunct w:val="0"/>
              <w:autoSpaceDE w:val="0"/>
              <w:autoSpaceDN w:val="0"/>
              <w:adjustRightInd w:val="0"/>
              <w:spacing w:line="236" w:lineRule="auto"/>
              <w:ind w:left="8"/>
            </w:pPr>
            <w:r w:rsidRPr="004F0846">
              <w:t>1 priedas</w:t>
            </w:r>
          </w:p>
          <w:p w:rsidR="004F0846" w:rsidRPr="004F0846" w:rsidRDefault="004F0846" w:rsidP="004F0846">
            <w:pPr>
              <w:widowControl w:val="0"/>
              <w:overflowPunct w:val="0"/>
              <w:autoSpaceDE w:val="0"/>
              <w:autoSpaceDN w:val="0"/>
              <w:adjustRightInd w:val="0"/>
              <w:spacing w:line="236" w:lineRule="auto"/>
              <w:ind w:left="8"/>
            </w:pPr>
          </w:p>
        </w:tc>
      </w:tr>
    </w:tbl>
    <w:p w:rsidR="004F0846" w:rsidRPr="004F0846" w:rsidRDefault="004F0846" w:rsidP="004F0846">
      <w:pPr>
        <w:widowControl w:val="0"/>
        <w:overflowPunct w:val="0"/>
        <w:autoSpaceDE w:val="0"/>
        <w:autoSpaceDN w:val="0"/>
        <w:adjustRightInd w:val="0"/>
        <w:spacing w:line="236" w:lineRule="auto"/>
        <w:ind w:left="8"/>
      </w:pPr>
    </w:p>
    <w:p w:rsidR="004F0846" w:rsidRPr="004F0846" w:rsidRDefault="004F0846" w:rsidP="004F0846">
      <w:pPr>
        <w:widowControl w:val="0"/>
        <w:overflowPunct w:val="0"/>
        <w:autoSpaceDE w:val="0"/>
        <w:autoSpaceDN w:val="0"/>
        <w:adjustRightInd w:val="0"/>
        <w:spacing w:line="236" w:lineRule="auto"/>
        <w:ind w:left="8"/>
      </w:pPr>
    </w:p>
    <w:p w:rsidR="004F0846" w:rsidRPr="004F0846" w:rsidRDefault="004F0846" w:rsidP="004F0846">
      <w:pPr>
        <w:widowControl w:val="0"/>
        <w:overflowPunct w:val="0"/>
        <w:autoSpaceDE w:val="0"/>
        <w:autoSpaceDN w:val="0"/>
        <w:adjustRightInd w:val="0"/>
        <w:spacing w:line="236" w:lineRule="auto"/>
        <w:ind w:left="8"/>
      </w:pPr>
    </w:p>
    <w:p w:rsidR="004F0846" w:rsidRPr="004F0846" w:rsidRDefault="004F0846" w:rsidP="004F0846">
      <w:pPr>
        <w:widowControl w:val="0"/>
        <w:overflowPunct w:val="0"/>
        <w:autoSpaceDE w:val="0"/>
        <w:autoSpaceDN w:val="0"/>
        <w:adjustRightInd w:val="0"/>
        <w:spacing w:line="236" w:lineRule="auto"/>
        <w:ind w:left="8"/>
        <w:jc w:val="center"/>
        <w:rPr>
          <w:b/>
        </w:rPr>
      </w:pPr>
      <w:r w:rsidRPr="004F0846">
        <w:rPr>
          <w:b/>
        </w:rPr>
        <w:t xml:space="preserve">KVALIFIKUOTŲ ELEKTRONINIŲ LAIKO ŽYMŲ PASLAUGOS </w:t>
      </w:r>
      <w:r>
        <w:rPr>
          <w:b/>
        </w:rPr>
        <w:t>ĮKAINIAI</w:t>
      </w: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4F0846" w:rsidRDefault="004F0846" w:rsidP="004F0846">
      <w:pPr>
        <w:widowControl w:val="0"/>
        <w:overflowPunct w:val="0"/>
        <w:autoSpaceDE w:val="0"/>
        <w:autoSpaceDN w:val="0"/>
        <w:adjustRightInd w:val="0"/>
        <w:spacing w:line="236" w:lineRule="auto"/>
        <w:ind w:left="8"/>
      </w:pPr>
    </w:p>
    <w:p w:rsidR="00D5012F" w:rsidRPr="00D5012F" w:rsidRDefault="00D5012F" w:rsidP="00D5012F">
      <w:pPr>
        <w:spacing w:line="20" w:lineRule="atLeast"/>
        <w:ind w:left="34"/>
        <w:jc w:val="both"/>
        <w:rPr>
          <w:i/>
          <w:lang w:eastAsia="en-US"/>
        </w:rPr>
      </w:pPr>
      <w:r w:rsidRPr="00D5012F">
        <w:rPr>
          <w:rFonts w:eastAsia="Calibri"/>
          <w:i/>
          <w:lang w:eastAsia="en-US"/>
        </w:rPr>
        <w:t>Mes siūlome</w:t>
      </w:r>
      <w:r w:rsidRPr="00D5012F">
        <w:rPr>
          <w:i/>
          <w:lang w:eastAsia="en-US"/>
        </w:rPr>
        <w:t>:</w:t>
      </w:r>
    </w:p>
    <w:tbl>
      <w:tblPr>
        <w:tblStyle w:val="TableGrid3"/>
        <w:tblpPr w:leftFromText="180" w:rightFromText="180" w:vertAnchor="text" w:tblpY="1"/>
        <w:tblOverlap w:val="never"/>
        <w:tblW w:w="14879" w:type="dxa"/>
        <w:tblLook w:val="04A0" w:firstRow="1" w:lastRow="0" w:firstColumn="1" w:lastColumn="0" w:noHBand="0" w:noVBand="1"/>
      </w:tblPr>
      <w:tblGrid>
        <w:gridCol w:w="667"/>
        <w:gridCol w:w="6416"/>
        <w:gridCol w:w="2410"/>
        <w:gridCol w:w="2551"/>
        <w:gridCol w:w="2835"/>
      </w:tblGrid>
      <w:tr w:rsidR="00D5012F" w:rsidRPr="00D5012F" w:rsidTr="00D5012F">
        <w:tc>
          <w:tcPr>
            <w:tcW w:w="667" w:type="dxa"/>
            <w:shd w:val="clear" w:color="auto" w:fill="D9D9D9"/>
          </w:tcPr>
          <w:p w:rsidR="00D5012F" w:rsidRPr="00D5012F" w:rsidRDefault="00D5012F" w:rsidP="00D5012F">
            <w:pPr>
              <w:rPr>
                <w:rFonts w:eastAsia="SimSun"/>
                <w:b/>
                <w:i/>
                <w:lang w:eastAsia="zh-CN"/>
              </w:rPr>
            </w:pPr>
            <w:r w:rsidRPr="00D5012F">
              <w:rPr>
                <w:rFonts w:eastAsia="SimSun"/>
                <w:b/>
                <w:i/>
                <w:lang w:eastAsia="zh-CN"/>
              </w:rPr>
              <w:t>Eil. Nr.</w:t>
            </w:r>
          </w:p>
        </w:tc>
        <w:tc>
          <w:tcPr>
            <w:tcW w:w="6416" w:type="dxa"/>
            <w:shd w:val="clear" w:color="auto" w:fill="D9D9D9"/>
          </w:tcPr>
          <w:p w:rsidR="00D5012F" w:rsidRPr="00D5012F" w:rsidRDefault="00D5012F" w:rsidP="00D5012F">
            <w:pPr>
              <w:jc w:val="center"/>
              <w:rPr>
                <w:rFonts w:eastAsia="SimSun"/>
                <w:b/>
                <w:i/>
                <w:lang w:eastAsia="zh-CN"/>
              </w:rPr>
            </w:pPr>
            <w:r w:rsidRPr="00D5012F">
              <w:rPr>
                <w:rFonts w:eastAsia="SimSun"/>
                <w:b/>
                <w:i/>
                <w:lang w:eastAsia="zh-CN"/>
              </w:rPr>
              <w:t>Paslaugos pavadinimas</w:t>
            </w:r>
          </w:p>
        </w:tc>
        <w:tc>
          <w:tcPr>
            <w:tcW w:w="2410" w:type="dxa"/>
            <w:shd w:val="clear" w:color="auto" w:fill="D9D9D9"/>
          </w:tcPr>
          <w:p w:rsidR="00D5012F" w:rsidRPr="00D5012F" w:rsidRDefault="00D5012F" w:rsidP="00D5012F">
            <w:pPr>
              <w:jc w:val="center"/>
              <w:rPr>
                <w:rFonts w:eastAsia="SimSun"/>
                <w:b/>
                <w:i/>
                <w:lang w:eastAsia="zh-CN"/>
              </w:rPr>
            </w:pPr>
            <w:r w:rsidRPr="00D5012F">
              <w:rPr>
                <w:rFonts w:eastAsia="SimSun"/>
                <w:b/>
                <w:i/>
                <w:lang w:eastAsia="zh-CN"/>
              </w:rPr>
              <w:t xml:space="preserve">Planuojamas kiekis per 36 </w:t>
            </w:r>
            <w:proofErr w:type="spellStart"/>
            <w:r w:rsidRPr="00D5012F">
              <w:rPr>
                <w:rFonts w:eastAsia="SimSun"/>
                <w:b/>
                <w:i/>
                <w:lang w:eastAsia="zh-CN"/>
              </w:rPr>
              <w:t>mėn</w:t>
            </w:r>
            <w:proofErr w:type="spellEnd"/>
            <w:r w:rsidRPr="00D5012F">
              <w:rPr>
                <w:rFonts w:eastAsia="SimSun"/>
                <w:b/>
                <w:i/>
                <w:lang w:eastAsia="zh-CN"/>
              </w:rPr>
              <w:t>*</w:t>
            </w:r>
          </w:p>
        </w:tc>
        <w:tc>
          <w:tcPr>
            <w:tcW w:w="2551" w:type="dxa"/>
            <w:shd w:val="clear" w:color="auto" w:fill="D9D9D9"/>
          </w:tcPr>
          <w:p w:rsidR="00D5012F" w:rsidRPr="00D5012F" w:rsidRDefault="00D5012F" w:rsidP="00D5012F">
            <w:pPr>
              <w:jc w:val="center"/>
              <w:rPr>
                <w:rFonts w:eastAsia="SimSun"/>
                <w:b/>
                <w:i/>
                <w:lang w:eastAsia="zh-CN"/>
              </w:rPr>
            </w:pPr>
            <w:r w:rsidRPr="00D5012F">
              <w:rPr>
                <w:rFonts w:eastAsia="SimSun"/>
                <w:b/>
                <w:i/>
                <w:lang w:eastAsia="zh-CN"/>
              </w:rPr>
              <w:t>Vienos paslaugos įkainis,</w:t>
            </w:r>
          </w:p>
          <w:p w:rsidR="00D5012F" w:rsidRPr="00D5012F" w:rsidRDefault="00D5012F" w:rsidP="00D5012F">
            <w:pPr>
              <w:jc w:val="center"/>
              <w:rPr>
                <w:rFonts w:eastAsia="SimSun"/>
                <w:b/>
                <w:i/>
                <w:lang w:eastAsia="zh-CN"/>
              </w:rPr>
            </w:pPr>
            <w:proofErr w:type="spellStart"/>
            <w:r w:rsidRPr="00D5012F">
              <w:rPr>
                <w:rFonts w:eastAsia="SimSun"/>
                <w:b/>
                <w:i/>
                <w:lang w:eastAsia="zh-CN"/>
              </w:rPr>
              <w:t>Eur</w:t>
            </w:r>
            <w:proofErr w:type="spellEnd"/>
            <w:r w:rsidRPr="00D5012F">
              <w:rPr>
                <w:rFonts w:eastAsia="SimSun"/>
                <w:b/>
                <w:i/>
                <w:lang w:eastAsia="zh-CN"/>
              </w:rPr>
              <w:t xml:space="preserve"> (be PVM)</w:t>
            </w:r>
          </w:p>
        </w:tc>
        <w:tc>
          <w:tcPr>
            <w:tcW w:w="2835" w:type="dxa"/>
            <w:shd w:val="clear" w:color="auto" w:fill="D9D9D9"/>
          </w:tcPr>
          <w:p w:rsidR="00D5012F" w:rsidRPr="00D5012F" w:rsidRDefault="00D5012F" w:rsidP="00D5012F">
            <w:pPr>
              <w:jc w:val="center"/>
              <w:rPr>
                <w:rFonts w:eastAsia="SimSun"/>
                <w:b/>
                <w:i/>
                <w:lang w:eastAsia="zh-CN"/>
              </w:rPr>
            </w:pPr>
            <w:r w:rsidRPr="00D5012F">
              <w:rPr>
                <w:rFonts w:eastAsia="SimSun"/>
                <w:b/>
                <w:i/>
                <w:lang w:eastAsia="zh-CN"/>
              </w:rPr>
              <w:t>Paslaugos kaina visam planuojamam kiekiui (per 36 mėn.)</w:t>
            </w:r>
          </w:p>
          <w:p w:rsidR="00D5012F" w:rsidRPr="00D5012F" w:rsidRDefault="00D5012F" w:rsidP="00D5012F">
            <w:pPr>
              <w:jc w:val="center"/>
              <w:rPr>
                <w:rFonts w:eastAsia="SimSun"/>
                <w:b/>
                <w:i/>
                <w:lang w:eastAsia="zh-CN"/>
              </w:rPr>
            </w:pPr>
            <w:proofErr w:type="spellStart"/>
            <w:r w:rsidRPr="00D5012F">
              <w:rPr>
                <w:rFonts w:eastAsia="SimSun"/>
                <w:b/>
                <w:i/>
                <w:lang w:eastAsia="zh-CN"/>
              </w:rPr>
              <w:t>Eur</w:t>
            </w:r>
            <w:proofErr w:type="spellEnd"/>
            <w:r w:rsidRPr="00D5012F">
              <w:rPr>
                <w:rFonts w:eastAsia="SimSun"/>
                <w:b/>
                <w:i/>
                <w:lang w:eastAsia="zh-CN"/>
              </w:rPr>
              <w:t xml:space="preserve"> (be PVM)</w:t>
            </w:r>
          </w:p>
          <w:p w:rsidR="00D5012F" w:rsidRPr="00D5012F" w:rsidRDefault="00D5012F" w:rsidP="00D5012F">
            <w:pPr>
              <w:jc w:val="center"/>
              <w:rPr>
                <w:rFonts w:eastAsia="SimSun"/>
                <w:b/>
                <w:i/>
                <w:lang w:eastAsia="zh-CN"/>
              </w:rPr>
            </w:pPr>
            <w:r w:rsidRPr="00D5012F">
              <w:rPr>
                <w:rFonts w:eastAsia="SimSun"/>
                <w:b/>
                <w:i/>
                <w:lang w:eastAsia="zh-CN"/>
              </w:rPr>
              <w:t xml:space="preserve">3*4 </w:t>
            </w:r>
            <w:proofErr w:type="spellStart"/>
            <w:r w:rsidRPr="00D5012F">
              <w:rPr>
                <w:rFonts w:eastAsia="SimSun"/>
                <w:b/>
                <w:i/>
                <w:lang w:eastAsia="zh-CN"/>
              </w:rPr>
              <w:t>stulp</w:t>
            </w:r>
            <w:proofErr w:type="spellEnd"/>
            <w:r w:rsidRPr="00D5012F">
              <w:rPr>
                <w:rFonts w:eastAsia="SimSun"/>
                <w:b/>
                <w:i/>
                <w:lang w:eastAsia="zh-CN"/>
              </w:rPr>
              <w:t>.</w:t>
            </w:r>
          </w:p>
        </w:tc>
      </w:tr>
      <w:tr w:rsidR="00D5012F" w:rsidRPr="00D5012F" w:rsidTr="00D5012F">
        <w:trPr>
          <w:trHeight w:val="308"/>
        </w:trPr>
        <w:tc>
          <w:tcPr>
            <w:tcW w:w="667" w:type="dxa"/>
            <w:shd w:val="clear" w:color="auto" w:fill="F2F2F2"/>
          </w:tcPr>
          <w:p w:rsidR="00D5012F" w:rsidRPr="00D5012F" w:rsidRDefault="00D5012F" w:rsidP="00D5012F">
            <w:pPr>
              <w:jc w:val="center"/>
              <w:rPr>
                <w:rFonts w:eastAsia="SimSun"/>
                <w:b/>
                <w:i/>
                <w:lang w:eastAsia="zh-CN"/>
              </w:rPr>
            </w:pPr>
            <w:r w:rsidRPr="00D5012F">
              <w:rPr>
                <w:rFonts w:eastAsia="SimSun"/>
                <w:b/>
                <w:i/>
                <w:lang w:eastAsia="zh-CN"/>
              </w:rPr>
              <w:t>1</w:t>
            </w:r>
          </w:p>
        </w:tc>
        <w:tc>
          <w:tcPr>
            <w:tcW w:w="6416" w:type="dxa"/>
            <w:shd w:val="clear" w:color="auto" w:fill="F2F2F2"/>
          </w:tcPr>
          <w:p w:rsidR="00D5012F" w:rsidRPr="00D5012F" w:rsidRDefault="00D5012F" w:rsidP="00D5012F">
            <w:pPr>
              <w:jc w:val="center"/>
              <w:rPr>
                <w:rFonts w:eastAsia="SimSun"/>
                <w:b/>
                <w:i/>
                <w:lang w:eastAsia="zh-CN"/>
              </w:rPr>
            </w:pPr>
            <w:r w:rsidRPr="00D5012F">
              <w:rPr>
                <w:rFonts w:eastAsia="SimSun"/>
                <w:b/>
                <w:i/>
                <w:lang w:eastAsia="zh-CN"/>
              </w:rPr>
              <w:t>2</w:t>
            </w:r>
          </w:p>
        </w:tc>
        <w:tc>
          <w:tcPr>
            <w:tcW w:w="2410" w:type="dxa"/>
            <w:shd w:val="clear" w:color="auto" w:fill="F2F2F2"/>
          </w:tcPr>
          <w:p w:rsidR="00D5012F" w:rsidRPr="00D5012F" w:rsidRDefault="00D5012F" w:rsidP="00D5012F">
            <w:pPr>
              <w:jc w:val="center"/>
              <w:rPr>
                <w:rFonts w:eastAsia="SimSun"/>
                <w:b/>
                <w:i/>
                <w:lang w:eastAsia="zh-CN"/>
              </w:rPr>
            </w:pPr>
            <w:r w:rsidRPr="00D5012F">
              <w:rPr>
                <w:rFonts w:eastAsia="SimSun"/>
                <w:b/>
                <w:i/>
                <w:lang w:eastAsia="zh-CN"/>
              </w:rPr>
              <w:t>3</w:t>
            </w:r>
          </w:p>
        </w:tc>
        <w:tc>
          <w:tcPr>
            <w:tcW w:w="2551" w:type="dxa"/>
            <w:shd w:val="clear" w:color="auto" w:fill="F2F2F2"/>
          </w:tcPr>
          <w:p w:rsidR="00D5012F" w:rsidRPr="00D5012F" w:rsidRDefault="00D5012F" w:rsidP="00D5012F">
            <w:pPr>
              <w:jc w:val="center"/>
              <w:rPr>
                <w:rFonts w:eastAsia="SimSun"/>
                <w:b/>
                <w:i/>
                <w:lang w:eastAsia="zh-CN"/>
              </w:rPr>
            </w:pPr>
            <w:r w:rsidRPr="00D5012F">
              <w:rPr>
                <w:rFonts w:eastAsia="SimSun"/>
                <w:b/>
                <w:i/>
                <w:lang w:eastAsia="zh-CN"/>
              </w:rPr>
              <w:t>4</w:t>
            </w:r>
          </w:p>
        </w:tc>
        <w:tc>
          <w:tcPr>
            <w:tcW w:w="2835" w:type="dxa"/>
            <w:shd w:val="clear" w:color="auto" w:fill="F2F2F2"/>
          </w:tcPr>
          <w:p w:rsidR="00D5012F" w:rsidRPr="00D5012F" w:rsidRDefault="00D5012F" w:rsidP="00D5012F">
            <w:pPr>
              <w:jc w:val="center"/>
              <w:rPr>
                <w:rFonts w:eastAsia="SimSun"/>
                <w:b/>
                <w:i/>
                <w:lang w:eastAsia="zh-CN"/>
              </w:rPr>
            </w:pPr>
            <w:r w:rsidRPr="00D5012F">
              <w:rPr>
                <w:rFonts w:eastAsia="SimSun"/>
                <w:b/>
                <w:i/>
                <w:lang w:eastAsia="zh-CN"/>
              </w:rPr>
              <w:t>5</w:t>
            </w:r>
          </w:p>
        </w:tc>
      </w:tr>
      <w:tr w:rsidR="00D5012F" w:rsidRPr="00D5012F" w:rsidTr="00D5012F">
        <w:tc>
          <w:tcPr>
            <w:tcW w:w="667" w:type="dxa"/>
          </w:tcPr>
          <w:p w:rsidR="00D5012F" w:rsidRPr="00D5012F" w:rsidRDefault="00D5012F" w:rsidP="00D5012F">
            <w:pPr>
              <w:rPr>
                <w:rFonts w:eastAsia="SimSun"/>
                <w:i/>
                <w:lang w:eastAsia="zh-CN"/>
              </w:rPr>
            </w:pPr>
            <w:r w:rsidRPr="00D5012F">
              <w:rPr>
                <w:rFonts w:eastAsia="SimSun"/>
                <w:i/>
                <w:lang w:eastAsia="zh-CN"/>
              </w:rPr>
              <w:t>1.</w:t>
            </w:r>
          </w:p>
        </w:tc>
        <w:tc>
          <w:tcPr>
            <w:tcW w:w="6416" w:type="dxa"/>
            <w:tcBorders>
              <w:top w:val="single" w:sz="4" w:space="0" w:color="auto"/>
              <w:left w:val="single" w:sz="4" w:space="0" w:color="auto"/>
              <w:bottom w:val="single" w:sz="4" w:space="0" w:color="auto"/>
              <w:right w:val="single" w:sz="4" w:space="0" w:color="auto"/>
            </w:tcBorders>
            <w:shd w:val="clear" w:color="auto" w:fill="auto"/>
            <w:vAlign w:val="center"/>
          </w:tcPr>
          <w:p w:rsidR="00D5012F" w:rsidRPr="00D5012F" w:rsidRDefault="00D5012F" w:rsidP="00D5012F">
            <w:pPr>
              <w:rPr>
                <w:b/>
                <w:bCs/>
                <w:i/>
                <w:color w:val="000000"/>
              </w:rPr>
            </w:pPr>
            <w:r w:rsidRPr="00D5012F">
              <w:rPr>
                <w:rFonts w:eastAsia="SimSun"/>
                <w:i/>
                <w:lang w:eastAsia="zh-CN"/>
              </w:rPr>
              <w:t xml:space="preserve">Kvalifikuotų elektroninių laiko žymų </w:t>
            </w:r>
            <w:proofErr w:type="spellStart"/>
            <w:r w:rsidRPr="00D5012F">
              <w:rPr>
                <w:rFonts w:eastAsia="Calibri"/>
                <w:i/>
                <w:color w:val="000000"/>
                <w:lang w:val="en-US" w:eastAsia="zh-CN"/>
              </w:rPr>
              <w:t>paslauga</w:t>
            </w:r>
            <w:proofErr w:type="spellEnd"/>
          </w:p>
        </w:tc>
        <w:tc>
          <w:tcPr>
            <w:tcW w:w="2410" w:type="dxa"/>
            <w:tcBorders>
              <w:top w:val="single" w:sz="4" w:space="0" w:color="auto"/>
              <w:left w:val="single" w:sz="4" w:space="0" w:color="auto"/>
              <w:bottom w:val="single" w:sz="4" w:space="0" w:color="auto"/>
              <w:right w:val="single" w:sz="4" w:space="0" w:color="auto"/>
            </w:tcBorders>
          </w:tcPr>
          <w:p w:rsidR="00D5012F" w:rsidRPr="00D5012F" w:rsidRDefault="00D5012F" w:rsidP="00D5012F">
            <w:pPr>
              <w:jc w:val="center"/>
              <w:rPr>
                <w:rFonts w:eastAsia="SimSun"/>
                <w:i/>
                <w:lang w:eastAsia="zh-CN"/>
              </w:rPr>
            </w:pPr>
            <w:r w:rsidRPr="00D5012F">
              <w:rPr>
                <w:rFonts w:eastAsia="SimSun"/>
                <w:i/>
                <w:lang w:eastAsia="zh-CN"/>
              </w:rPr>
              <w:t>3 000 000</w:t>
            </w:r>
          </w:p>
        </w:tc>
        <w:tc>
          <w:tcPr>
            <w:tcW w:w="2551" w:type="dxa"/>
          </w:tcPr>
          <w:p w:rsidR="00D5012F" w:rsidRPr="00D5012F" w:rsidRDefault="00D5012F" w:rsidP="00D5012F">
            <w:pPr>
              <w:rPr>
                <w:rFonts w:eastAsia="SimSun"/>
                <w:i/>
                <w:lang w:eastAsia="zh-CN"/>
              </w:rPr>
            </w:pPr>
          </w:p>
        </w:tc>
        <w:tc>
          <w:tcPr>
            <w:tcW w:w="2835" w:type="dxa"/>
          </w:tcPr>
          <w:p w:rsidR="00D5012F" w:rsidRPr="00D5012F" w:rsidRDefault="00D5012F" w:rsidP="00D5012F">
            <w:pPr>
              <w:rPr>
                <w:rFonts w:eastAsia="SimSun"/>
                <w:i/>
                <w:lang w:eastAsia="zh-CN"/>
              </w:rPr>
            </w:pPr>
          </w:p>
        </w:tc>
      </w:tr>
      <w:tr w:rsidR="00D5012F" w:rsidRPr="00D5012F" w:rsidTr="00D5012F">
        <w:tc>
          <w:tcPr>
            <w:tcW w:w="12044" w:type="dxa"/>
            <w:gridSpan w:val="4"/>
            <w:tcBorders>
              <w:top w:val="nil"/>
            </w:tcBorders>
          </w:tcPr>
          <w:p w:rsidR="00D5012F" w:rsidRPr="00D5012F" w:rsidRDefault="00D5012F" w:rsidP="00D5012F">
            <w:pPr>
              <w:jc w:val="right"/>
              <w:rPr>
                <w:rFonts w:eastAsia="SimSun"/>
                <w:b/>
                <w:lang w:eastAsia="zh-CN"/>
              </w:rPr>
            </w:pPr>
            <w:r w:rsidRPr="00D5012F">
              <w:rPr>
                <w:rFonts w:eastAsia="SimSun"/>
                <w:b/>
                <w:lang w:eastAsia="zh-CN"/>
              </w:rPr>
              <w:t>PVM</w:t>
            </w:r>
          </w:p>
        </w:tc>
        <w:tc>
          <w:tcPr>
            <w:tcW w:w="2835" w:type="dxa"/>
          </w:tcPr>
          <w:p w:rsidR="00D5012F" w:rsidRPr="00D5012F" w:rsidRDefault="00D5012F" w:rsidP="00D5012F">
            <w:pPr>
              <w:rPr>
                <w:rFonts w:eastAsia="SimSun"/>
                <w:lang w:eastAsia="zh-CN"/>
              </w:rPr>
            </w:pPr>
          </w:p>
        </w:tc>
      </w:tr>
      <w:tr w:rsidR="00D5012F" w:rsidRPr="00D5012F" w:rsidTr="00D5012F">
        <w:tc>
          <w:tcPr>
            <w:tcW w:w="12044" w:type="dxa"/>
            <w:gridSpan w:val="4"/>
          </w:tcPr>
          <w:p w:rsidR="00D5012F" w:rsidRPr="00D5012F" w:rsidRDefault="00D5012F" w:rsidP="00D5012F">
            <w:pPr>
              <w:jc w:val="right"/>
              <w:rPr>
                <w:rFonts w:eastAsia="SimSun"/>
                <w:b/>
                <w:lang w:eastAsia="zh-CN"/>
              </w:rPr>
            </w:pPr>
            <w:r w:rsidRPr="00D5012F">
              <w:rPr>
                <w:rFonts w:eastAsia="SimSun"/>
                <w:b/>
                <w:lang w:eastAsia="zh-CN"/>
              </w:rPr>
              <w:t xml:space="preserve">Iš viso, </w:t>
            </w:r>
            <w:proofErr w:type="spellStart"/>
            <w:r w:rsidRPr="00D5012F">
              <w:rPr>
                <w:rFonts w:eastAsia="SimSun"/>
                <w:b/>
                <w:lang w:eastAsia="zh-CN"/>
              </w:rPr>
              <w:t>Eur</w:t>
            </w:r>
            <w:proofErr w:type="spellEnd"/>
            <w:r w:rsidRPr="00D5012F">
              <w:rPr>
                <w:rFonts w:eastAsia="SimSun"/>
                <w:b/>
                <w:lang w:eastAsia="zh-CN"/>
              </w:rPr>
              <w:t xml:space="preserve"> su PVM</w:t>
            </w:r>
          </w:p>
        </w:tc>
        <w:tc>
          <w:tcPr>
            <w:tcW w:w="2835" w:type="dxa"/>
          </w:tcPr>
          <w:p w:rsidR="00D5012F" w:rsidRPr="00D5012F" w:rsidRDefault="00D5012F" w:rsidP="00D5012F">
            <w:pPr>
              <w:rPr>
                <w:rFonts w:eastAsia="SimSun"/>
                <w:lang w:eastAsia="zh-CN"/>
              </w:rPr>
            </w:pPr>
          </w:p>
        </w:tc>
      </w:tr>
    </w:tbl>
    <w:p w:rsidR="004F0846" w:rsidRDefault="004F0846" w:rsidP="004F0846">
      <w:pPr>
        <w:widowControl w:val="0"/>
        <w:overflowPunct w:val="0"/>
        <w:autoSpaceDE w:val="0"/>
        <w:autoSpaceDN w:val="0"/>
        <w:adjustRightInd w:val="0"/>
        <w:spacing w:line="236" w:lineRule="auto"/>
        <w:ind w:left="8"/>
      </w:pPr>
    </w:p>
    <w:p w:rsidR="00B30A82" w:rsidRDefault="00B30A82" w:rsidP="00B30A82">
      <w:pPr>
        <w:pStyle w:val="BodyText1"/>
        <w:ind w:firstLine="0"/>
        <w:rPr>
          <w:rFonts w:ascii="Times New Roman" w:hAnsi="Times New Roman"/>
          <w:sz w:val="24"/>
          <w:szCs w:val="24"/>
          <w:lang w:val="lt-LT"/>
        </w:rPr>
      </w:pPr>
    </w:p>
    <w:p w:rsidR="00D5012F" w:rsidRDefault="00D5012F" w:rsidP="00B30A82">
      <w:pPr>
        <w:rPr>
          <w:rFonts w:eastAsia="SimSun"/>
          <w:b/>
          <w:lang w:eastAsia="zh-CN"/>
        </w:rPr>
      </w:pPr>
    </w:p>
    <w:p w:rsidR="00D5012F" w:rsidRDefault="00D5012F" w:rsidP="00B30A82">
      <w:pPr>
        <w:rPr>
          <w:rFonts w:eastAsia="SimSun"/>
          <w:b/>
          <w:lang w:eastAsia="zh-CN"/>
        </w:rPr>
      </w:pPr>
      <w:bookmarkStart w:id="0" w:name="_GoBack"/>
      <w:bookmarkEnd w:id="0"/>
    </w:p>
    <w:p w:rsidR="00B30A82" w:rsidRPr="00B30A82" w:rsidRDefault="00B30A82" w:rsidP="00B30A82">
      <w:pPr>
        <w:rPr>
          <w:rFonts w:eastAsia="SimSun"/>
          <w:b/>
          <w:lang w:eastAsia="zh-CN"/>
        </w:rPr>
      </w:pPr>
      <w:r w:rsidRPr="00B30A82">
        <w:rPr>
          <w:rFonts w:eastAsia="SimSun"/>
          <w:b/>
          <w:lang w:eastAsia="zh-CN"/>
        </w:rPr>
        <w:t xml:space="preserve">Bendra pasiūlymo kaina 36 mėnesių EUR su PVM ................................. ( ________________________ eurų ______ ct )  (Suma skaičiais ir žodžiais) </w:t>
      </w:r>
    </w:p>
    <w:p w:rsidR="00B30A82" w:rsidRDefault="00B30A82" w:rsidP="00B30A82">
      <w:pPr>
        <w:pStyle w:val="BodyText1"/>
        <w:ind w:firstLine="0"/>
        <w:rPr>
          <w:rFonts w:ascii="Times New Roman" w:hAnsi="Times New Roman"/>
          <w:sz w:val="24"/>
          <w:szCs w:val="24"/>
          <w:lang w:val="lt-LT"/>
        </w:rPr>
      </w:pPr>
    </w:p>
    <w:p w:rsidR="00B30A82" w:rsidRDefault="00B30A82" w:rsidP="00B30A82">
      <w:pPr>
        <w:pStyle w:val="BodyText1"/>
        <w:ind w:firstLine="0"/>
        <w:rPr>
          <w:rFonts w:ascii="Times New Roman" w:hAnsi="Times New Roman"/>
          <w:sz w:val="24"/>
          <w:szCs w:val="24"/>
          <w:lang w:val="lt-LT"/>
        </w:rPr>
      </w:pPr>
    </w:p>
    <w:p w:rsidR="00B30A82" w:rsidRDefault="00B30A82" w:rsidP="00B30A82">
      <w:pPr>
        <w:pStyle w:val="BodyText1"/>
        <w:ind w:firstLine="0"/>
        <w:rPr>
          <w:rFonts w:ascii="Times New Roman" w:hAnsi="Times New Roman"/>
          <w:sz w:val="24"/>
          <w:szCs w:val="24"/>
          <w:lang w:val="lt-LT"/>
        </w:rPr>
      </w:pPr>
      <w:r>
        <w:rPr>
          <w:rFonts w:ascii="Times New Roman" w:hAnsi="Times New Roman"/>
          <w:sz w:val="24"/>
          <w:szCs w:val="24"/>
          <w:lang w:val="lt-LT"/>
        </w:rPr>
        <w:tab/>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TEIKĖJAS</w:t>
      </w:r>
    </w:p>
    <w:p w:rsidR="00B30A82" w:rsidRDefault="00B30A82" w:rsidP="00B30A82">
      <w:pPr>
        <w:pStyle w:val="BodyText1"/>
        <w:ind w:firstLine="0"/>
        <w:rPr>
          <w:b/>
        </w:rPr>
      </w:pPr>
    </w:p>
    <w:p w:rsidR="00B30A82" w:rsidRDefault="00B30A82" w:rsidP="00B30A82">
      <w:pPr>
        <w:pStyle w:val="BodyText1"/>
        <w:ind w:firstLine="0"/>
        <w:rPr>
          <w:b/>
        </w:rPr>
      </w:pPr>
    </w:p>
    <w:p w:rsidR="00B30A82" w:rsidRDefault="00B30A82" w:rsidP="00B30A82">
      <w:pPr>
        <w:pStyle w:val="BodyText1"/>
        <w:ind w:firstLine="0"/>
        <w:rPr>
          <w:b/>
        </w:rPr>
      </w:pPr>
    </w:p>
    <w:p w:rsidR="004F0846" w:rsidRDefault="004F0846" w:rsidP="004F0846">
      <w:pPr>
        <w:widowControl w:val="0"/>
        <w:overflowPunct w:val="0"/>
        <w:autoSpaceDE w:val="0"/>
        <w:autoSpaceDN w:val="0"/>
        <w:adjustRightInd w:val="0"/>
        <w:spacing w:line="236" w:lineRule="auto"/>
        <w:ind w:left="8"/>
      </w:pPr>
    </w:p>
    <w:p w:rsidR="00B30A82" w:rsidRDefault="00B30A82" w:rsidP="004F0846">
      <w:pPr>
        <w:widowControl w:val="0"/>
        <w:overflowPunct w:val="0"/>
        <w:autoSpaceDE w:val="0"/>
        <w:autoSpaceDN w:val="0"/>
        <w:adjustRightInd w:val="0"/>
        <w:spacing w:line="236" w:lineRule="auto"/>
        <w:ind w:left="8"/>
      </w:pPr>
    </w:p>
    <w:p w:rsidR="00B30A82" w:rsidRDefault="00B30A82" w:rsidP="004F0846">
      <w:pPr>
        <w:widowControl w:val="0"/>
        <w:overflowPunct w:val="0"/>
        <w:autoSpaceDE w:val="0"/>
        <w:autoSpaceDN w:val="0"/>
        <w:adjustRightInd w:val="0"/>
        <w:spacing w:line="236" w:lineRule="auto"/>
        <w:ind w:left="8"/>
      </w:pPr>
    </w:p>
    <w:p w:rsidR="00B30A82" w:rsidRDefault="00B30A82" w:rsidP="004F0846">
      <w:pPr>
        <w:widowControl w:val="0"/>
        <w:overflowPunct w:val="0"/>
        <w:autoSpaceDE w:val="0"/>
        <w:autoSpaceDN w:val="0"/>
        <w:adjustRightInd w:val="0"/>
        <w:spacing w:line="236" w:lineRule="auto"/>
        <w:ind w:left="8"/>
      </w:pPr>
    </w:p>
    <w:p w:rsidR="00B30A82" w:rsidRDefault="00B30A82" w:rsidP="004F0846">
      <w:pPr>
        <w:widowControl w:val="0"/>
        <w:overflowPunct w:val="0"/>
        <w:autoSpaceDE w:val="0"/>
        <w:autoSpaceDN w:val="0"/>
        <w:adjustRightInd w:val="0"/>
        <w:spacing w:line="236" w:lineRule="auto"/>
        <w:ind w:left="8"/>
      </w:pPr>
    </w:p>
    <w:p w:rsidR="00B30A82" w:rsidRDefault="00B30A82" w:rsidP="004F0846">
      <w:pPr>
        <w:widowControl w:val="0"/>
        <w:overflowPunct w:val="0"/>
        <w:autoSpaceDE w:val="0"/>
        <w:autoSpaceDN w:val="0"/>
        <w:adjustRightInd w:val="0"/>
        <w:spacing w:line="236" w:lineRule="auto"/>
        <w:ind w:left="8"/>
      </w:pPr>
    </w:p>
    <w:p w:rsidR="00B30A82" w:rsidRDefault="00B30A82" w:rsidP="004F0846">
      <w:pPr>
        <w:widowControl w:val="0"/>
        <w:overflowPunct w:val="0"/>
        <w:autoSpaceDE w:val="0"/>
        <w:autoSpaceDN w:val="0"/>
        <w:adjustRightInd w:val="0"/>
        <w:spacing w:line="236" w:lineRule="auto"/>
        <w:ind w:left="8"/>
        <w:sectPr w:rsidR="00B30A82" w:rsidSect="004F0846">
          <w:pgSz w:w="16838" w:h="11906" w:orient="landscape"/>
          <w:pgMar w:top="1260" w:right="993" w:bottom="566" w:left="993" w:header="567" w:footer="567" w:gutter="0"/>
          <w:cols w:space="1296"/>
          <w:titlePg/>
          <w:docGrid w:linePitch="360"/>
        </w:sectPr>
      </w:pPr>
    </w:p>
    <w:tbl>
      <w:tblPr>
        <w:tblpPr w:leftFromText="180" w:rightFromText="180" w:tblpXSpec="right" w:tblpY="-840"/>
        <w:tblW w:w="3486" w:type="dxa"/>
        <w:tblLook w:val="01E0" w:firstRow="1" w:lastRow="1" w:firstColumn="1" w:lastColumn="1" w:noHBand="0" w:noVBand="0"/>
      </w:tblPr>
      <w:tblGrid>
        <w:gridCol w:w="3486"/>
      </w:tblGrid>
      <w:tr w:rsidR="00B30A82" w:rsidRPr="004F0846" w:rsidTr="00816055">
        <w:trPr>
          <w:trHeight w:val="341"/>
        </w:trPr>
        <w:tc>
          <w:tcPr>
            <w:tcW w:w="3486" w:type="dxa"/>
            <w:hideMark/>
          </w:tcPr>
          <w:p w:rsidR="00B30A82" w:rsidRPr="004F0846" w:rsidRDefault="00B30A82" w:rsidP="00816055">
            <w:pPr>
              <w:widowControl w:val="0"/>
              <w:overflowPunct w:val="0"/>
              <w:autoSpaceDE w:val="0"/>
              <w:autoSpaceDN w:val="0"/>
              <w:adjustRightInd w:val="0"/>
              <w:spacing w:line="236" w:lineRule="auto"/>
              <w:ind w:left="8"/>
            </w:pPr>
          </w:p>
          <w:p w:rsidR="00B30A82" w:rsidRPr="004F0846" w:rsidRDefault="00B30A82" w:rsidP="00816055">
            <w:pPr>
              <w:widowControl w:val="0"/>
              <w:overflowPunct w:val="0"/>
              <w:autoSpaceDE w:val="0"/>
              <w:autoSpaceDN w:val="0"/>
              <w:adjustRightInd w:val="0"/>
              <w:spacing w:line="236" w:lineRule="auto"/>
              <w:ind w:left="8"/>
            </w:pPr>
          </w:p>
          <w:p w:rsidR="00B30A82" w:rsidRPr="004F0846" w:rsidRDefault="00B30A82" w:rsidP="00816055">
            <w:pPr>
              <w:widowControl w:val="0"/>
              <w:overflowPunct w:val="0"/>
              <w:autoSpaceDE w:val="0"/>
              <w:autoSpaceDN w:val="0"/>
              <w:adjustRightInd w:val="0"/>
              <w:spacing w:line="236" w:lineRule="auto"/>
              <w:ind w:left="8"/>
            </w:pPr>
            <w:r w:rsidRPr="004F0846">
              <w:t>202</w:t>
            </w:r>
            <w:r>
              <w:t>6</w:t>
            </w:r>
            <w:r w:rsidRPr="004F0846">
              <w:t xml:space="preserve"> m. ................... mėn. ...... d.</w:t>
            </w:r>
          </w:p>
          <w:p w:rsidR="00B30A82" w:rsidRPr="004F0846" w:rsidRDefault="00B30A82" w:rsidP="00816055">
            <w:pPr>
              <w:widowControl w:val="0"/>
              <w:overflowPunct w:val="0"/>
              <w:autoSpaceDE w:val="0"/>
              <w:autoSpaceDN w:val="0"/>
              <w:adjustRightInd w:val="0"/>
              <w:spacing w:line="236" w:lineRule="auto"/>
              <w:ind w:left="8"/>
            </w:pPr>
            <w:r w:rsidRPr="004F0846">
              <w:t>Sutarties Nr. ...............</w:t>
            </w:r>
          </w:p>
        </w:tc>
      </w:tr>
      <w:tr w:rsidR="00B30A82" w:rsidRPr="004F0846" w:rsidTr="00816055">
        <w:trPr>
          <w:trHeight w:val="426"/>
        </w:trPr>
        <w:tc>
          <w:tcPr>
            <w:tcW w:w="3486" w:type="dxa"/>
            <w:hideMark/>
          </w:tcPr>
          <w:p w:rsidR="00B30A82" w:rsidRPr="004F0846" w:rsidRDefault="00B30A82" w:rsidP="00816055">
            <w:pPr>
              <w:widowControl w:val="0"/>
              <w:overflowPunct w:val="0"/>
              <w:autoSpaceDE w:val="0"/>
              <w:autoSpaceDN w:val="0"/>
              <w:adjustRightInd w:val="0"/>
              <w:spacing w:line="236" w:lineRule="auto"/>
              <w:ind w:left="8"/>
            </w:pPr>
            <w:r>
              <w:t>2</w:t>
            </w:r>
            <w:r w:rsidRPr="004F0846">
              <w:t xml:space="preserve"> priedas</w:t>
            </w:r>
          </w:p>
          <w:p w:rsidR="00B30A82" w:rsidRPr="004F0846" w:rsidRDefault="00B30A82" w:rsidP="00816055">
            <w:pPr>
              <w:widowControl w:val="0"/>
              <w:overflowPunct w:val="0"/>
              <w:autoSpaceDE w:val="0"/>
              <w:autoSpaceDN w:val="0"/>
              <w:adjustRightInd w:val="0"/>
              <w:spacing w:line="236" w:lineRule="auto"/>
              <w:ind w:left="8"/>
            </w:pPr>
          </w:p>
        </w:tc>
      </w:tr>
    </w:tbl>
    <w:p w:rsidR="00B30A82" w:rsidRDefault="00B30A82" w:rsidP="004F0846">
      <w:pPr>
        <w:widowControl w:val="0"/>
        <w:overflowPunct w:val="0"/>
        <w:autoSpaceDE w:val="0"/>
        <w:autoSpaceDN w:val="0"/>
        <w:adjustRightInd w:val="0"/>
        <w:spacing w:line="236" w:lineRule="auto"/>
        <w:ind w:left="8"/>
      </w:pPr>
    </w:p>
    <w:p w:rsidR="00B30A82" w:rsidRDefault="00B30A82" w:rsidP="004F0846">
      <w:pPr>
        <w:widowControl w:val="0"/>
        <w:overflowPunct w:val="0"/>
        <w:autoSpaceDE w:val="0"/>
        <w:autoSpaceDN w:val="0"/>
        <w:adjustRightInd w:val="0"/>
        <w:spacing w:line="236" w:lineRule="auto"/>
        <w:ind w:left="8"/>
      </w:pPr>
    </w:p>
    <w:p w:rsidR="00B30A82" w:rsidRDefault="00B30A82" w:rsidP="00B30A82">
      <w:pPr>
        <w:spacing w:line="276" w:lineRule="auto"/>
        <w:jc w:val="center"/>
        <w:rPr>
          <w:rFonts w:eastAsia="Calibri"/>
          <w:b/>
          <w:lang w:eastAsia="en-US"/>
        </w:rPr>
      </w:pPr>
    </w:p>
    <w:p w:rsidR="00B30A82" w:rsidRDefault="00B30A82" w:rsidP="00B30A82">
      <w:pPr>
        <w:spacing w:line="276" w:lineRule="auto"/>
        <w:jc w:val="center"/>
        <w:rPr>
          <w:rFonts w:eastAsia="Calibri"/>
          <w:b/>
          <w:lang w:eastAsia="en-US"/>
        </w:rPr>
      </w:pPr>
    </w:p>
    <w:p w:rsidR="00B30A82" w:rsidRPr="00B30A82" w:rsidRDefault="00B30A82" w:rsidP="00B30A82">
      <w:pPr>
        <w:spacing w:line="276" w:lineRule="auto"/>
        <w:jc w:val="center"/>
        <w:rPr>
          <w:rFonts w:eastAsia="Calibri"/>
          <w:b/>
          <w:lang w:eastAsia="en-US"/>
        </w:rPr>
      </w:pPr>
      <w:r w:rsidRPr="00B30A82">
        <w:rPr>
          <w:rFonts w:eastAsia="Calibri"/>
          <w:b/>
          <w:lang w:eastAsia="en-US"/>
        </w:rPr>
        <w:t>KVALIFIKUOTŲ ELEKTRONINIŲ LAIKO ŽYMŲ PASLAUGŲ TECHNINĖ SPECIFIKACIJA</w:t>
      </w:r>
    </w:p>
    <w:p w:rsidR="00B30A82" w:rsidRPr="00B30A82" w:rsidRDefault="00B30A82" w:rsidP="00B30A82">
      <w:pPr>
        <w:spacing w:line="276" w:lineRule="auto"/>
        <w:jc w:val="center"/>
        <w:rPr>
          <w:rFonts w:eastAsia="Calibri"/>
          <w:b/>
          <w:lang w:eastAsia="en-US"/>
        </w:rPr>
      </w:pPr>
    </w:p>
    <w:p w:rsidR="00B30A82" w:rsidRPr="00B30A82" w:rsidRDefault="00B30A82" w:rsidP="00B30A82">
      <w:pPr>
        <w:spacing w:line="276" w:lineRule="auto"/>
        <w:ind w:firstLine="1296"/>
        <w:jc w:val="both"/>
        <w:rPr>
          <w:rFonts w:eastAsia="Calibri"/>
          <w:strike/>
          <w:lang w:eastAsia="en-US"/>
        </w:rPr>
      </w:pPr>
      <w:r w:rsidRPr="00B30A82">
        <w:rPr>
          <w:rFonts w:eastAsia="Calibri"/>
          <w:lang w:eastAsia="en-US"/>
        </w:rPr>
        <w:t xml:space="preserve">1. Pirkimo objektą sudaro kvalifikuotų elektroninių laiko žymų paslaugos, reikalingos kvalifikuoto elektroninio parašo ir kvalifikuoto elektroninio spaudo naudojimui elektroniniuose dokumentuose.  </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2. Reikalavimai kvalifikuotoms elektroninėms laiko žymoms:</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 xml:space="preserve">2.1. Kvalifikuotų elektroninių laiko žymų paslaugos turi atitikti </w:t>
      </w:r>
      <w:r w:rsidRPr="00B30A82">
        <w:rPr>
          <w:rFonts w:eastAsia="Calibri"/>
          <w:color w:val="000000"/>
          <w:lang w:eastAsia="en-US"/>
        </w:rPr>
        <w:t xml:space="preserve">2014 m. liepos 23 d. </w:t>
      </w:r>
      <w:r w:rsidRPr="00B30A82">
        <w:rPr>
          <w:rFonts w:eastAsia="Calibri"/>
          <w:lang w:eastAsia="en-US"/>
        </w:rPr>
        <w:t>patvirtintame E</w:t>
      </w:r>
      <w:r w:rsidRPr="00B30A82">
        <w:rPr>
          <w:rFonts w:eastAsia="Calibri"/>
          <w:color w:val="000000"/>
          <w:lang w:eastAsia="en-US"/>
        </w:rPr>
        <w:t>uropos parlamento ir tarybos reglamente (ES) Nr. 910/2014 „Dėl elektroninės atpažinties ir elektroninių operacijų patikimumo užtikrinimo paslaugų vidaus rinkoje, kuriuo panaikinama Direktyva 1999/93/EB“ (toliau – Reglamentas)</w:t>
      </w:r>
      <w:r w:rsidRPr="00B30A82">
        <w:rPr>
          <w:rFonts w:eastAsia="Calibri"/>
          <w:lang w:eastAsia="en-US"/>
        </w:rPr>
        <w:t xml:space="preserve"> nustatytus reikalavimus.</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2.2. Kvalifikuotos elektroninės laiko žymos turi galioti ne trumpiau kaip 3 (tris) metus (paslaugos teikimo metu).</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3. Pagrindiniai reikalavimai paslaugos teikimui:</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3.1. Kvalifikuotas elektronines laiko žymas formuojantis paslaugų teikėjas ir jų teikiamos kvalifikuotų elektroninių laiko žymų formavimo paslaugos turi būti įtrauktos į Europos Sąjungos valstybės narės patikimą sąrašą (nurodytą E</w:t>
      </w:r>
      <w:r w:rsidRPr="00B30A82">
        <w:rPr>
          <w:rFonts w:eastAsia="Calibri"/>
          <w:color w:val="000000"/>
          <w:lang w:eastAsia="en-US"/>
        </w:rPr>
        <w:t>uropos parlamento ir tarybos reglamento</w:t>
      </w:r>
      <w:r w:rsidRPr="00B30A82">
        <w:rPr>
          <w:rFonts w:eastAsia="Calibri"/>
          <w:lang w:eastAsia="en-US"/>
        </w:rPr>
        <w:t xml:space="preserve"> (ES) Nr. 910/2014 22 straipsnyje).</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3.2. Paslaugos pasiekiamumo lygis turi būti ne mažesnis, kaip 99,95% per mėnesį, išskyrus iš anksto suderintus planinius paslaugos nepasiekiamumo laikotarpius.</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4. Paslaugų teikimo lygio susitarimas:</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 xml:space="preserve">4.1. Sutrikimas – tai visiškas arba dalinis laiko žymų teikimo sutrikimas. </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 xml:space="preserve">4.2. Sutrikimas turi būti pašalintas ne vėliau kaip per 8 valandas nuo sutrikimo užregistravimo. </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 xml:space="preserve">4.4. Turi būti galimybė nemokamai užregistruoti sutrikimą elektroniniu paštu arba telefonu. </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4.3. Jeigu sutrikimo neįmanoma pašalinti per 4.2. punkte nustatytą laiką, Tiekėjas privalo su Paslaugos gavėju suderinti gedimų šalinimo planą ir naują sutrikimo šalinimo terminą.</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 xml:space="preserve">4.4. Tiekėjo pagrįstas prašymas pratęsti sutrikimo šalinimo terminą gali būti teikiamas ne daugiau kaip 1 kartą per sutarties galiojimo laiką. </w:t>
      </w:r>
    </w:p>
    <w:p w:rsidR="00B30A82" w:rsidRPr="00B30A82" w:rsidRDefault="00B30A82" w:rsidP="00B30A82">
      <w:pPr>
        <w:spacing w:line="276" w:lineRule="auto"/>
        <w:ind w:firstLine="1296"/>
        <w:jc w:val="both"/>
        <w:rPr>
          <w:rFonts w:eastAsia="Calibri"/>
          <w:lang w:eastAsia="en-US"/>
        </w:rPr>
      </w:pPr>
      <w:r w:rsidRPr="00B30A82">
        <w:rPr>
          <w:rFonts w:eastAsia="Calibri"/>
          <w:lang w:eastAsia="en-US"/>
        </w:rPr>
        <w:t>5. Numatoma paslaugų apimtis – apie 3 000 000 kvalifikuotų elektroninių laiko žymų per 3 metų laikotarpį.</w:t>
      </w:r>
    </w:p>
    <w:p w:rsidR="00B30A82" w:rsidRDefault="00B30A82" w:rsidP="00B30A82">
      <w:pPr>
        <w:spacing w:line="276" w:lineRule="auto"/>
        <w:ind w:firstLine="1296"/>
        <w:jc w:val="both"/>
        <w:rPr>
          <w:rFonts w:eastAsia="Calibri"/>
          <w:lang w:val="en-US" w:eastAsia="en-US"/>
        </w:rPr>
      </w:pPr>
      <w:r w:rsidRPr="00B30A82">
        <w:rPr>
          <w:rFonts w:eastAsia="Calibri"/>
          <w:lang w:val="en-US" w:eastAsia="en-US"/>
        </w:rPr>
        <w:t xml:space="preserve">6. </w:t>
      </w:r>
      <w:proofErr w:type="spellStart"/>
      <w:r w:rsidRPr="00B30A82">
        <w:rPr>
          <w:rFonts w:eastAsia="Calibri"/>
          <w:lang w:val="en-US" w:eastAsia="en-US"/>
        </w:rPr>
        <w:t>Pirkimo</w:t>
      </w:r>
      <w:proofErr w:type="spellEnd"/>
      <w:r w:rsidRPr="00B30A82">
        <w:rPr>
          <w:rFonts w:eastAsia="Calibri"/>
          <w:lang w:val="en-US" w:eastAsia="en-US"/>
        </w:rPr>
        <w:t xml:space="preserve"> </w:t>
      </w:r>
      <w:proofErr w:type="spellStart"/>
      <w:r w:rsidRPr="00B30A82">
        <w:rPr>
          <w:rFonts w:eastAsia="Calibri"/>
          <w:lang w:val="en-US" w:eastAsia="en-US"/>
        </w:rPr>
        <w:t>objektas</w:t>
      </w:r>
      <w:proofErr w:type="spellEnd"/>
      <w:r w:rsidRPr="00B30A82">
        <w:rPr>
          <w:rFonts w:eastAsia="Calibri"/>
          <w:lang w:val="en-US" w:eastAsia="en-US"/>
        </w:rPr>
        <w:t xml:space="preserve"> (</w:t>
      </w:r>
      <w:proofErr w:type="spellStart"/>
      <w:r w:rsidRPr="00B30A82">
        <w:rPr>
          <w:rFonts w:eastAsia="Calibri"/>
          <w:lang w:val="en-US" w:eastAsia="en-US"/>
        </w:rPr>
        <w:t>kvalifikuotų</w:t>
      </w:r>
      <w:proofErr w:type="spellEnd"/>
      <w:r w:rsidRPr="00B30A82">
        <w:rPr>
          <w:rFonts w:eastAsia="Calibri"/>
          <w:lang w:val="en-US" w:eastAsia="en-US"/>
        </w:rPr>
        <w:t xml:space="preserve"> </w:t>
      </w:r>
      <w:proofErr w:type="spellStart"/>
      <w:r w:rsidRPr="00B30A82">
        <w:rPr>
          <w:rFonts w:eastAsia="Calibri"/>
          <w:lang w:val="en-US" w:eastAsia="en-US"/>
        </w:rPr>
        <w:t>elektroninių</w:t>
      </w:r>
      <w:proofErr w:type="spellEnd"/>
      <w:r w:rsidRPr="00B30A82">
        <w:rPr>
          <w:rFonts w:eastAsia="Calibri"/>
          <w:lang w:val="en-US" w:eastAsia="en-US"/>
        </w:rPr>
        <w:t xml:space="preserve"> </w:t>
      </w:r>
      <w:proofErr w:type="spellStart"/>
      <w:r w:rsidRPr="00B30A82">
        <w:rPr>
          <w:rFonts w:eastAsia="Calibri"/>
          <w:lang w:val="en-US" w:eastAsia="en-US"/>
        </w:rPr>
        <w:t>laiko</w:t>
      </w:r>
      <w:proofErr w:type="spellEnd"/>
      <w:r w:rsidRPr="00B30A82">
        <w:rPr>
          <w:rFonts w:eastAsia="Calibri"/>
          <w:lang w:val="en-US" w:eastAsia="en-US"/>
        </w:rPr>
        <w:t xml:space="preserve"> </w:t>
      </w:r>
      <w:proofErr w:type="spellStart"/>
      <w:r w:rsidRPr="00B30A82">
        <w:rPr>
          <w:rFonts w:eastAsia="Calibri"/>
          <w:lang w:val="en-US" w:eastAsia="en-US"/>
        </w:rPr>
        <w:t>žymų</w:t>
      </w:r>
      <w:proofErr w:type="spellEnd"/>
      <w:r w:rsidRPr="00B30A82">
        <w:rPr>
          <w:rFonts w:eastAsia="Calibri"/>
          <w:lang w:val="en-US" w:eastAsia="en-US"/>
        </w:rPr>
        <w:t xml:space="preserve"> </w:t>
      </w:r>
      <w:proofErr w:type="spellStart"/>
      <w:r w:rsidRPr="00B30A82">
        <w:rPr>
          <w:rFonts w:eastAsia="Calibri"/>
          <w:lang w:val="en-US" w:eastAsia="en-US"/>
        </w:rPr>
        <w:t>paslaugos</w:t>
      </w:r>
      <w:proofErr w:type="spellEnd"/>
      <w:r w:rsidRPr="00B30A82">
        <w:rPr>
          <w:rFonts w:eastAsia="Calibri"/>
          <w:lang w:val="en-US" w:eastAsia="en-US"/>
        </w:rPr>
        <w:t xml:space="preserve">), </w:t>
      </w:r>
      <w:proofErr w:type="spellStart"/>
      <w:r w:rsidRPr="00B30A82">
        <w:rPr>
          <w:rFonts w:eastAsia="Calibri"/>
          <w:lang w:val="en-US" w:eastAsia="en-US"/>
        </w:rPr>
        <w:t>vadovaujantis</w:t>
      </w:r>
      <w:proofErr w:type="spellEnd"/>
      <w:r w:rsidRPr="00B30A82">
        <w:rPr>
          <w:rFonts w:eastAsia="Calibri"/>
          <w:lang w:val="en-US" w:eastAsia="en-US"/>
        </w:rPr>
        <w:t xml:space="preserve"> </w:t>
      </w:r>
      <w:proofErr w:type="spellStart"/>
      <w:r w:rsidRPr="00B30A82">
        <w:rPr>
          <w:rFonts w:eastAsia="Calibri"/>
          <w:lang w:val="en-US" w:eastAsia="en-US"/>
        </w:rPr>
        <w:t>Viešųjų</w:t>
      </w:r>
      <w:proofErr w:type="spellEnd"/>
      <w:r w:rsidRPr="00B30A82">
        <w:rPr>
          <w:rFonts w:eastAsia="Calibri"/>
          <w:lang w:val="en-US" w:eastAsia="en-US"/>
        </w:rPr>
        <w:t xml:space="preserve"> </w:t>
      </w:r>
      <w:proofErr w:type="spellStart"/>
      <w:r w:rsidRPr="00B30A82">
        <w:rPr>
          <w:rFonts w:eastAsia="Calibri"/>
          <w:lang w:val="en-US" w:eastAsia="en-US"/>
        </w:rPr>
        <w:t>pirkimų</w:t>
      </w:r>
      <w:proofErr w:type="spellEnd"/>
      <w:r w:rsidRPr="00B30A82">
        <w:rPr>
          <w:rFonts w:eastAsia="Calibri"/>
          <w:lang w:val="en-US" w:eastAsia="en-US"/>
        </w:rPr>
        <w:t xml:space="preserve"> </w:t>
      </w:r>
      <w:proofErr w:type="spellStart"/>
      <w:r w:rsidRPr="00B30A82">
        <w:rPr>
          <w:rFonts w:eastAsia="Calibri"/>
          <w:lang w:val="en-US" w:eastAsia="en-US"/>
        </w:rPr>
        <w:t>įstatymu</w:t>
      </w:r>
      <w:proofErr w:type="spellEnd"/>
      <w:r w:rsidRPr="00B30A82">
        <w:rPr>
          <w:rFonts w:eastAsia="Calibri"/>
          <w:lang w:val="en-US" w:eastAsia="en-US"/>
        </w:rPr>
        <w:t xml:space="preserve">, </w:t>
      </w:r>
      <w:proofErr w:type="spellStart"/>
      <w:r w:rsidRPr="00B30A82">
        <w:rPr>
          <w:rFonts w:eastAsia="Calibri"/>
          <w:lang w:val="en-US" w:eastAsia="en-US"/>
        </w:rPr>
        <w:t>turi</w:t>
      </w:r>
      <w:proofErr w:type="spellEnd"/>
      <w:r w:rsidRPr="00B30A82">
        <w:rPr>
          <w:rFonts w:eastAsia="Calibri"/>
          <w:lang w:val="en-US" w:eastAsia="en-US"/>
        </w:rPr>
        <w:t xml:space="preserve"> </w:t>
      </w:r>
      <w:proofErr w:type="spellStart"/>
      <w:r w:rsidRPr="00B30A82">
        <w:rPr>
          <w:rFonts w:eastAsia="Calibri"/>
          <w:lang w:val="en-US" w:eastAsia="en-US"/>
        </w:rPr>
        <w:t>nekelti</w:t>
      </w:r>
      <w:proofErr w:type="spellEnd"/>
      <w:r w:rsidRPr="00B30A82">
        <w:rPr>
          <w:rFonts w:eastAsia="Calibri"/>
          <w:lang w:val="en-US" w:eastAsia="en-US"/>
        </w:rPr>
        <w:t xml:space="preserve"> </w:t>
      </w:r>
      <w:proofErr w:type="spellStart"/>
      <w:r w:rsidRPr="00B30A82">
        <w:rPr>
          <w:rFonts w:eastAsia="Calibri"/>
          <w:lang w:val="en-US" w:eastAsia="en-US"/>
        </w:rPr>
        <w:t>grėsmės</w:t>
      </w:r>
      <w:proofErr w:type="spellEnd"/>
      <w:r w:rsidRPr="00B30A82">
        <w:rPr>
          <w:rFonts w:eastAsia="Calibri"/>
          <w:lang w:val="en-US" w:eastAsia="en-US"/>
        </w:rPr>
        <w:t xml:space="preserve"> </w:t>
      </w:r>
      <w:proofErr w:type="spellStart"/>
      <w:r w:rsidRPr="00B30A82">
        <w:rPr>
          <w:rFonts w:eastAsia="Calibri"/>
          <w:lang w:val="en-US" w:eastAsia="en-US"/>
        </w:rPr>
        <w:t>nacionaliniam</w:t>
      </w:r>
      <w:proofErr w:type="spellEnd"/>
      <w:r w:rsidRPr="00B30A82">
        <w:rPr>
          <w:rFonts w:eastAsia="Calibri"/>
          <w:lang w:val="en-US" w:eastAsia="en-US"/>
        </w:rPr>
        <w:t xml:space="preserve"> </w:t>
      </w:r>
      <w:proofErr w:type="spellStart"/>
      <w:r w:rsidRPr="00B30A82">
        <w:rPr>
          <w:rFonts w:eastAsia="Calibri"/>
          <w:lang w:val="en-US" w:eastAsia="en-US"/>
        </w:rPr>
        <w:t>saugumui</w:t>
      </w:r>
      <w:proofErr w:type="spellEnd"/>
      <w:r w:rsidRPr="00B30A82">
        <w:rPr>
          <w:rFonts w:eastAsia="Calibri"/>
          <w:lang w:val="en-US" w:eastAsia="en-US"/>
        </w:rPr>
        <w:t>.</w:t>
      </w:r>
    </w:p>
    <w:p w:rsidR="00B30A82" w:rsidRDefault="00B30A82" w:rsidP="00B30A82">
      <w:pPr>
        <w:spacing w:line="276" w:lineRule="auto"/>
        <w:ind w:firstLine="1296"/>
        <w:jc w:val="both"/>
        <w:rPr>
          <w:rFonts w:eastAsia="Calibri"/>
          <w:lang w:val="en-US" w:eastAsia="en-US"/>
        </w:rPr>
      </w:pPr>
    </w:p>
    <w:p w:rsidR="00B30A82" w:rsidRDefault="00B30A82" w:rsidP="00B30A82">
      <w:pPr>
        <w:spacing w:line="276" w:lineRule="auto"/>
        <w:jc w:val="both"/>
        <w:rPr>
          <w:rFonts w:eastAsia="Calibri"/>
          <w:lang w:val="en-US" w:eastAsia="en-US"/>
        </w:rPr>
      </w:pPr>
      <w:r>
        <w:rPr>
          <w:rFonts w:eastAsia="Calibri"/>
          <w:lang w:val="en-US" w:eastAsia="en-US"/>
        </w:rPr>
        <w:tab/>
      </w:r>
      <w:r>
        <w:rPr>
          <w:rFonts w:eastAsia="Calibri"/>
          <w:lang w:val="en-US" w:eastAsia="en-US"/>
        </w:rPr>
        <w:tab/>
      </w:r>
    </w:p>
    <w:p w:rsidR="00B30A82" w:rsidRDefault="00B30A82" w:rsidP="00B30A82">
      <w:pPr>
        <w:spacing w:line="276" w:lineRule="auto"/>
        <w:jc w:val="both"/>
        <w:rPr>
          <w:rFonts w:eastAsia="Calibri"/>
          <w:lang w:val="en-US" w:eastAsia="en-US"/>
        </w:rPr>
      </w:pPr>
    </w:p>
    <w:p w:rsidR="00B30A82" w:rsidRDefault="00B30A82" w:rsidP="00B30A82">
      <w:pPr>
        <w:spacing w:line="276" w:lineRule="auto"/>
        <w:jc w:val="both"/>
        <w:rPr>
          <w:rFonts w:eastAsia="Calibri"/>
          <w:lang w:val="en-US" w:eastAsia="en-US"/>
        </w:rPr>
      </w:pPr>
      <w:r>
        <w:rPr>
          <w:rFonts w:eastAsia="Calibri"/>
          <w:lang w:val="en-US" w:eastAsia="en-US"/>
        </w:rPr>
        <w:tab/>
        <w:t>PIRKĖJAS</w:t>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TEIKĖJAS</w:t>
      </w:r>
    </w:p>
    <w:p w:rsidR="00B73AB4" w:rsidRDefault="00B73AB4" w:rsidP="00B30A82">
      <w:pPr>
        <w:spacing w:line="276" w:lineRule="auto"/>
        <w:jc w:val="both"/>
        <w:rPr>
          <w:rFonts w:eastAsia="Calibri"/>
          <w:lang w:val="en-US" w:eastAsia="en-US"/>
        </w:rPr>
      </w:pPr>
    </w:p>
    <w:p w:rsidR="00B73AB4" w:rsidRDefault="00B73AB4" w:rsidP="00B30A82">
      <w:pPr>
        <w:spacing w:line="276" w:lineRule="auto"/>
        <w:jc w:val="both"/>
        <w:rPr>
          <w:rFonts w:eastAsia="Calibri"/>
          <w:lang w:val="en-US" w:eastAsia="en-US"/>
        </w:rPr>
      </w:pPr>
    </w:p>
    <w:p w:rsidR="00B73AB4" w:rsidRDefault="00B73AB4" w:rsidP="00B30A82">
      <w:pPr>
        <w:spacing w:line="276" w:lineRule="auto"/>
        <w:jc w:val="both"/>
        <w:rPr>
          <w:rFonts w:eastAsia="Calibri"/>
          <w:lang w:val="en-US" w:eastAsia="en-US"/>
        </w:rPr>
      </w:pPr>
    </w:p>
    <w:p w:rsidR="00B73AB4" w:rsidRDefault="00B73AB4" w:rsidP="00B30A82">
      <w:pPr>
        <w:spacing w:line="276" w:lineRule="auto"/>
        <w:jc w:val="both"/>
        <w:rPr>
          <w:rFonts w:eastAsia="Calibri"/>
          <w:lang w:val="en-US" w:eastAsia="en-US"/>
        </w:rPr>
      </w:pPr>
    </w:p>
    <w:p w:rsidR="00B73AB4" w:rsidRDefault="00B73AB4" w:rsidP="00B30A82">
      <w:pPr>
        <w:spacing w:line="276" w:lineRule="auto"/>
        <w:jc w:val="both"/>
        <w:rPr>
          <w:rFonts w:eastAsia="Calibri"/>
          <w:lang w:val="en-US" w:eastAsia="en-US"/>
        </w:rPr>
      </w:pPr>
    </w:p>
    <w:tbl>
      <w:tblPr>
        <w:tblW w:w="4527" w:type="dxa"/>
        <w:jc w:val="right"/>
        <w:tblLook w:val="01E0" w:firstRow="1" w:lastRow="1" w:firstColumn="1" w:lastColumn="1" w:noHBand="0" w:noVBand="0"/>
      </w:tblPr>
      <w:tblGrid>
        <w:gridCol w:w="4527"/>
      </w:tblGrid>
      <w:tr w:rsidR="00B73AB4" w:rsidRPr="00B73AB4" w:rsidTr="00DC6E79">
        <w:trPr>
          <w:trHeight w:val="362"/>
          <w:jc w:val="right"/>
        </w:trPr>
        <w:tc>
          <w:tcPr>
            <w:tcW w:w="4527" w:type="dxa"/>
          </w:tcPr>
          <w:p w:rsidR="00B73AB4" w:rsidRPr="00B73AB4" w:rsidRDefault="00B73AB4" w:rsidP="00B73AB4">
            <w:pPr>
              <w:jc w:val="right"/>
              <w:rPr>
                <w:szCs w:val="20"/>
                <w:lang w:eastAsia="en-US"/>
              </w:rPr>
            </w:pPr>
            <w:r w:rsidRPr="00B73AB4">
              <w:rPr>
                <w:szCs w:val="20"/>
                <w:lang w:eastAsia="en-US"/>
              </w:rPr>
              <w:lastRenderedPageBreak/>
              <w:t>202</w:t>
            </w:r>
            <w:r>
              <w:rPr>
                <w:szCs w:val="20"/>
                <w:lang w:eastAsia="en-US"/>
              </w:rPr>
              <w:t>6</w:t>
            </w:r>
            <w:r w:rsidRPr="00B73AB4">
              <w:rPr>
                <w:szCs w:val="20"/>
                <w:lang w:eastAsia="en-US"/>
              </w:rPr>
              <w:t xml:space="preserve"> m. _______________d. Paslaugų pirkimo-pardavimo sutarties Nr._____</w:t>
            </w:r>
          </w:p>
        </w:tc>
      </w:tr>
      <w:tr w:rsidR="00B73AB4" w:rsidRPr="00B73AB4" w:rsidTr="00DC6E79">
        <w:trPr>
          <w:trHeight w:val="358"/>
          <w:jc w:val="right"/>
        </w:trPr>
        <w:tc>
          <w:tcPr>
            <w:tcW w:w="4527" w:type="dxa"/>
          </w:tcPr>
          <w:p w:rsidR="00B73AB4" w:rsidRPr="00B73AB4" w:rsidRDefault="00B73AB4" w:rsidP="00B73AB4">
            <w:pPr>
              <w:jc w:val="right"/>
              <w:rPr>
                <w:szCs w:val="20"/>
                <w:lang w:eastAsia="en-US"/>
              </w:rPr>
            </w:pPr>
            <w:r w:rsidRPr="00B73AB4">
              <w:rPr>
                <w:szCs w:val="20"/>
                <w:lang w:eastAsia="en-US"/>
              </w:rPr>
              <w:t>3 priedas</w:t>
            </w:r>
          </w:p>
        </w:tc>
      </w:tr>
    </w:tbl>
    <w:p w:rsidR="00B73AB4" w:rsidRPr="00B73AB4" w:rsidRDefault="00B73AB4" w:rsidP="00B73AB4">
      <w:pPr>
        <w:widowControl w:val="0"/>
        <w:autoSpaceDE w:val="0"/>
        <w:autoSpaceDN w:val="0"/>
        <w:adjustRightInd w:val="0"/>
        <w:ind w:firstLine="562"/>
        <w:jc w:val="center"/>
        <w:rPr>
          <w:b/>
          <w:iCs/>
        </w:rPr>
      </w:pPr>
      <w:r w:rsidRPr="00B73AB4">
        <w:rPr>
          <w:b/>
          <w:iCs/>
        </w:rPr>
        <w:t xml:space="preserve">SUTARTIES VYKDYMUI PASITELKIAMI </w:t>
      </w:r>
      <w:r w:rsidRPr="00B73AB4">
        <w:rPr>
          <w:b/>
          <w:iCs/>
          <w:caps/>
        </w:rPr>
        <w:t>subtiekėjai ir (ar) specialistai</w:t>
      </w:r>
    </w:p>
    <w:p w:rsidR="00B73AB4" w:rsidRPr="00B73AB4" w:rsidRDefault="00B73AB4" w:rsidP="00B73AB4">
      <w:pPr>
        <w:widowControl w:val="0"/>
        <w:autoSpaceDE w:val="0"/>
        <w:autoSpaceDN w:val="0"/>
        <w:adjustRightInd w:val="0"/>
        <w:ind w:firstLine="562"/>
        <w:jc w:val="both"/>
        <w:rPr>
          <w:rFonts w:eastAsia="Calibri"/>
          <w:bCs/>
          <w:color w:val="0070C0"/>
          <w:lang w:eastAsia="en-US"/>
        </w:rPr>
      </w:pPr>
      <w:r w:rsidRPr="00B73AB4">
        <w:rPr>
          <w:bCs/>
          <w:i/>
          <w:color w:val="0070C0"/>
        </w:rPr>
        <w:t>/Pildoma, kai pasitelkiami subtiekėjai, kuriais kvalifikacijos atitikimu remiasi Tiekėjas/:</w:t>
      </w:r>
    </w:p>
    <w:p w:rsidR="00B73AB4" w:rsidRPr="00B73AB4" w:rsidRDefault="00B73AB4" w:rsidP="00B73AB4">
      <w:pPr>
        <w:tabs>
          <w:tab w:val="left" w:pos="993"/>
          <w:tab w:val="left" w:pos="1440"/>
        </w:tabs>
        <w:ind w:firstLine="562"/>
        <w:jc w:val="both"/>
        <w:rPr>
          <w:rFonts w:eastAsia="Calibri"/>
          <w:highlight w:val="lightGray"/>
          <w:lang w:eastAsia="en-US"/>
        </w:rPr>
      </w:pPr>
      <w:r w:rsidRPr="00B73AB4">
        <w:rPr>
          <w:rFonts w:eastAsia="Calibri"/>
          <w:highlight w:val="lightGray"/>
          <w:lang w:eastAsia="en-US"/>
        </w:rPr>
        <w:t>[1. Subtiekėjai (-</w:t>
      </w:r>
      <w:proofErr w:type="spellStart"/>
      <w:r w:rsidRPr="00B73AB4">
        <w:rPr>
          <w:rFonts w:eastAsia="Calibri"/>
          <w:highlight w:val="lightGray"/>
          <w:lang w:eastAsia="en-US"/>
        </w:rPr>
        <w:t>as</w:t>
      </w:r>
      <w:proofErr w:type="spellEnd"/>
      <w:r w:rsidRPr="00B73AB4">
        <w:rPr>
          <w:rFonts w:eastAsia="Calibri"/>
          <w:highlight w:val="lightGray"/>
          <w:lang w:eastAsia="en-US"/>
        </w:rPr>
        <w:t>), kurių kvalifikacija remiasi Tiekėjas: ]</w:t>
      </w:r>
    </w:p>
    <w:p w:rsidR="00B73AB4" w:rsidRPr="00B73AB4" w:rsidRDefault="00B73AB4" w:rsidP="00B73AB4">
      <w:pPr>
        <w:tabs>
          <w:tab w:val="left" w:pos="0"/>
          <w:tab w:val="left" w:pos="993"/>
          <w:tab w:val="left" w:pos="1440"/>
        </w:tabs>
        <w:ind w:firstLine="562"/>
        <w:jc w:val="both"/>
        <w:rPr>
          <w:rFonts w:eastAsia="Calibri"/>
          <w:highlight w:val="lightGray"/>
          <w:lang w:eastAsia="en-US"/>
        </w:rPr>
      </w:pPr>
    </w:p>
    <w:tbl>
      <w:tblPr>
        <w:tblStyle w:val="TableGrid2"/>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B73AB4" w:rsidRPr="00B73AB4" w:rsidTr="00DC6E79">
        <w:trPr>
          <w:trHeight w:val="1026"/>
        </w:trPr>
        <w:tc>
          <w:tcPr>
            <w:tcW w:w="709" w:type="dxa"/>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 xml:space="preserve">Eil. Nr. </w:t>
            </w:r>
          </w:p>
        </w:tc>
        <w:tc>
          <w:tcPr>
            <w:tcW w:w="1843" w:type="dxa"/>
            <w:hideMark/>
          </w:tcPr>
          <w:p w:rsidR="00B73AB4" w:rsidRPr="00B73AB4" w:rsidRDefault="00B73AB4" w:rsidP="00B73AB4">
            <w:pPr>
              <w:tabs>
                <w:tab w:val="left" w:pos="0"/>
                <w:tab w:val="left" w:pos="993"/>
                <w:tab w:val="left" w:pos="1440"/>
              </w:tabs>
              <w:spacing w:after="160" w:line="259" w:lineRule="auto"/>
              <w:jc w:val="center"/>
              <w:rPr>
                <w:highlight w:val="lightGray"/>
                <w:lang w:eastAsia="en-US"/>
              </w:rPr>
            </w:pPr>
            <w:bookmarkStart w:id="1" w:name="_Hlk71124094"/>
            <w:r w:rsidRPr="00B73AB4">
              <w:rPr>
                <w:highlight w:val="lightGray"/>
                <w:lang w:eastAsia="en-US"/>
              </w:rPr>
              <w:t>Subtiekėjo pavadinimas</w:t>
            </w:r>
          </w:p>
        </w:tc>
        <w:tc>
          <w:tcPr>
            <w:tcW w:w="1701" w:type="dxa"/>
            <w:hideMark/>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 xml:space="preserve">Subtiekėjo atstovas ir jo kontaktiniai duomenys </w:t>
            </w:r>
          </w:p>
          <w:p w:rsidR="00B73AB4" w:rsidRPr="00B73AB4" w:rsidRDefault="00B73AB4" w:rsidP="00B73AB4">
            <w:pPr>
              <w:tabs>
                <w:tab w:val="left" w:pos="0"/>
                <w:tab w:val="left" w:pos="993"/>
                <w:tab w:val="left" w:pos="1440"/>
              </w:tabs>
              <w:spacing w:after="160" w:line="259" w:lineRule="auto"/>
              <w:jc w:val="center"/>
              <w:rPr>
                <w:highlight w:val="lightGray"/>
                <w:lang w:eastAsia="en-US"/>
              </w:rPr>
            </w:pPr>
          </w:p>
        </w:tc>
        <w:tc>
          <w:tcPr>
            <w:tcW w:w="1701" w:type="dxa"/>
            <w:hideMark/>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 xml:space="preserve">Kvalifikacijos reikalavimas, kurio atitikimui pasitelktas subtiekėjas  </w:t>
            </w:r>
          </w:p>
        </w:tc>
        <w:tc>
          <w:tcPr>
            <w:tcW w:w="2126" w:type="dxa"/>
            <w:hideMark/>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Perduodami įsipareigojimai (veiklos)</w:t>
            </w:r>
          </w:p>
        </w:tc>
        <w:tc>
          <w:tcPr>
            <w:tcW w:w="1559" w:type="dxa"/>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Perduodamų įsipareigojimų (veiklos) dalis nuo visos Sutarties (</w:t>
            </w:r>
            <w:proofErr w:type="spellStart"/>
            <w:r w:rsidRPr="00B73AB4">
              <w:rPr>
                <w:highlight w:val="lightGray"/>
                <w:lang w:eastAsia="en-US"/>
              </w:rPr>
              <w:t>Eur</w:t>
            </w:r>
            <w:proofErr w:type="spellEnd"/>
            <w:r w:rsidRPr="00B73AB4">
              <w:rPr>
                <w:highlight w:val="lightGray"/>
                <w:lang w:eastAsia="en-US"/>
              </w:rPr>
              <w:t xml:space="preserve"> arba %)</w:t>
            </w:r>
          </w:p>
        </w:tc>
      </w:tr>
      <w:tr w:rsidR="00B73AB4" w:rsidRPr="00B73AB4" w:rsidTr="00DC6E79">
        <w:trPr>
          <w:trHeight w:val="979"/>
        </w:trPr>
        <w:tc>
          <w:tcPr>
            <w:tcW w:w="709" w:type="dxa"/>
          </w:tcPr>
          <w:p w:rsidR="00B73AB4" w:rsidRPr="00B73AB4" w:rsidRDefault="00B73AB4" w:rsidP="00B73AB4">
            <w:pPr>
              <w:tabs>
                <w:tab w:val="left" w:pos="0"/>
                <w:tab w:val="left" w:pos="993"/>
                <w:tab w:val="left" w:pos="1440"/>
              </w:tabs>
              <w:spacing w:after="160" w:line="259" w:lineRule="auto"/>
              <w:ind w:firstLine="562"/>
              <w:jc w:val="both"/>
              <w:rPr>
                <w:highlight w:val="lightGray"/>
                <w:lang w:eastAsia="en-US"/>
              </w:rPr>
            </w:pPr>
          </w:p>
          <w:p w:rsidR="00B73AB4" w:rsidRPr="00B73AB4" w:rsidRDefault="00B73AB4" w:rsidP="00B73AB4">
            <w:pPr>
              <w:spacing w:after="160" w:line="259" w:lineRule="auto"/>
              <w:rPr>
                <w:highlight w:val="lightGray"/>
                <w:lang w:eastAsia="en-US"/>
              </w:rPr>
            </w:pPr>
            <w:r w:rsidRPr="00B73AB4">
              <w:rPr>
                <w:highlight w:val="lightGray"/>
                <w:lang w:eastAsia="en-US"/>
              </w:rPr>
              <w:t>1.</w:t>
            </w:r>
          </w:p>
        </w:tc>
        <w:tc>
          <w:tcPr>
            <w:tcW w:w="1843" w:type="dxa"/>
            <w:hideMark/>
          </w:tcPr>
          <w:p w:rsidR="00B73AB4" w:rsidRPr="00B73AB4" w:rsidRDefault="00B73AB4" w:rsidP="00B73AB4">
            <w:pPr>
              <w:tabs>
                <w:tab w:val="left" w:pos="0"/>
                <w:tab w:val="left" w:pos="993"/>
                <w:tab w:val="left" w:pos="1440"/>
              </w:tabs>
              <w:spacing w:after="160" w:line="259" w:lineRule="auto"/>
              <w:ind w:firstLine="562"/>
              <w:jc w:val="both"/>
              <w:rPr>
                <w:highlight w:val="lightGray"/>
                <w:lang w:eastAsia="en-US"/>
              </w:rPr>
            </w:pPr>
            <w:r w:rsidRPr="00B73AB4">
              <w:rPr>
                <w:highlight w:val="lightGray"/>
                <w:lang w:eastAsia="en-US"/>
              </w:rPr>
              <w:t> </w:t>
            </w:r>
          </w:p>
        </w:tc>
        <w:tc>
          <w:tcPr>
            <w:tcW w:w="1701" w:type="dxa"/>
            <w:hideMark/>
          </w:tcPr>
          <w:p w:rsidR="00B73AB4" w:rsidRPr="00B73AB4" w:rsidRDefault="00B73AB4" w:rsidP="00B73AB4">
            <w:pPr>
              <w:tabs>
                <w:tab w:val="left" w:pos="0"/>
                <w:tab w:val="left" w:pos="993"/>
                <w:tab w:val="left" w:pos="1440"/>
              </w:tabs>
              <w:spacing w:after="160" w:line="259" w:lineRule="auto"/>
              <w:ind w:firstLine="134"/>
              <w:jc w:val="both"/>
              <w:rPr>
                <w:i/>
                <w:iCs/>
                <w:highlight w:val="lightGray"/>
                <w:lang w:eastAsia="en-US"/>
              </w:rPr>
            </w:pPr>
            <w:r w:rsidRPr="00B73AB4">
              <w:rPr>
                <w:highlight w:val="lightGray"/>
                <w:lang w:eastAsia="en-US"/>
              </w:rPr>
              <w:t> </w:t>
            </w:r>
            <w:r w:rsidRPr="00B73AB4">
              <w:rPr>
                <w:i/>
                <w:iCs/>
                <w:highlight w:val="lightGray"/>
                <w:lang w:eastAsia="en-US"/>
              </w:rPr>
              <w:t xml:space="preserve">Pildo Tiekėjas </w:t>
            </w:r>
          </w:p>
        </w:tc>
        <w:tc>
          <w:tcPr>
            <w:tcW w:w="1701" w:type="dxa"/>
            <w:hideMark/>
          </w:tcPr>
          <w:p w:rsidR="00B73AB4" w:rsidRPr="00B73AB4" w:rsidRDefault="00B73AB4" w:rsidP="00B73AB4">
            <w:pPr>
              <w:tabs>
                <w:tab w:val="left" w:pos="0"/>
                <w:tab w:val="left" w:pos="993"/>
                <w:tab w:val="left" w:pos="1440"/>
              </w:tabs>
              <w:spacing w:after="160" w:line="259" w:lineRule="auto"/>
              <w:jc w:val="both"/>
              <w:rPr>
                <w:lang w:eastAsia="en-US"/>
              </w:rPr>
            </w:pPr>
            <w:r w:rsidRPr="00B73AB4">
              <w:rPr>
                <w:highlight w:val="lightGray"/>
                <w:lang w:eastAsia="en-US"/>
              </w:rPr>
              <w:t> </w:t>
            </w:r>
            <w:r w:rsidRPr="00B73AB4">
              <w:rPr>
                <w:i/>
                <w:iCs/>
                <w:highlight w:val="lightGray"/>
                <w:lang w:eastAsia="en-US"/>
              </w:rPr>
              <w:t>(pvz., Sutarties 4 priedo 1 lentelės 2 punktas)</w:t>
            </w:r>
          </w:p>
        </w:tc>
        <w:tc>
          <w:tcPr>
            <w:tcW w:w="2126" w:type="dxa"/>
            <w:hideMark/>
          </w:tcPr>
          <w:p w:rsidR="00B73AB4" w:rsidRPr="00B73AB4" w:rsidRDefault="00B73AB4" w:rsidP="00B73AB4">
            <w:pPr>
              <w:tabs>
                <w:tab w:val="left" w:pos="0"/>
                <w:tab w:val="left" w:pos="993"/>
                <w:tab w:val="left" w:pos="1440"/>
              </w:tabs>
              <w:spacing w:after="160" w:line="259" w:lineRule="auto"/>
              <w:ind w:firstLine="562"/>
              <w:jc w:val="both"/>
              <w:rPr>
                <w:lang w:eastAsia="en-US"/>
              </w:rPr>
            </w:pPr>
            <w:r w:rsidRPr="00B73AB4">
              <w:rPr>
                <w:lang w:eastAsia="en-US"/>
              </w:rPr>
              <w:t> </w:t>
            </w:r>
          </w:p>
        </w:tc>
        <w:tc>
          <w:tcPr>
            <w:tcW w:w="1559" w:type="dxa"/>
          </w:tcPr>
          <w:p w:rsidR="00B73AB4" w:rsidRPr="00B73AB4" w:rsidRDefault="00B73AB4" w:rsidP="00B73AB4">
            <w:pPr>
              <w:tabs>
                <w:tab w:val="left" w:pos="0"/>
                <w:tab w:val="left" w:pos="993"/>
                <w:tab w:val="left" w:pos="1440"/>
              </w:tabs>
              <w:spacing w:after="160" w:line="259" w:lineRule="auto"/>
              <w:ind w:firstLine="562"/>
              <w:jc w:val="both"/>
              <w:rPr>
                <w:lang w:eastAsia="en-US"/>
              </w:rPr>
            </w:pPr>
          </w:p>
        </w:tc>
      </w:tr>
      <w:bookmarkEnd w:id="1"/>
    </w:tbl>
    <w:p w:rsidR="00B73AB4" w:rsidRPr="00B73AB4" w:rsidRDefault="00B73AB4" w:rsidP="00B73AB4">
      <w:pPr>
        <w:tabs>
          <w:tab w:val="left" w:pos="0"/>
          <w:tab w:val="left" w:pos="993"/>
          <w:tab w:val="left" w:pos="1440"/>
        </w:tabs>
        <w:ind w:firstLine="562"/>
        <w:jc w:val="both"/>
        <w:rPr>
          <w:rFonts w:eastAsia="Calibri"/>
          <w:lang w:eastAsia="en-US"/>
        </w:rPr>
      </w:pPr>
    </w:p>
    <w:p w:rsidR="00B73AB4" w:rsidRPr="00B73AB4" w:rsidRDefault="00B73AB4" w:rsidP="00B73AB4">
      <w:pPr>
        <w:tabs>
          <w:tab w:val="left" w:pos="0"/>
          <w:tab w:val="left" w:pos="993"/>
          <w:tab w:val="left" w:pos="1440"/>
        </w:tabs>
        <w:ind w:firstLine="562"/>
        <w:jc w:val="both"/>
        <w:rPr>
          <w:rFonts w:eastAsia="Calibri"/>
          <w:b/>
          <w:bCs/>
          <w:color w:val="0070C0"/>
          <w:lang w:eastAsia="en-US"/>
        </w:rPr>
      </w:pPr>
      <w:r w:rsidRPr="00B73AB4">
        <w:rPr>
          <w:rFonts w:eastAsia="Calibri"/>
          <w:b/>
          <w:bCs/>
          <w:i/>
          <w:iCs/>
          <w:color w:val="0070C0"/>
          <w:lang w:eastAsia="en-US"/>
        </w:rPr>
        <w:t>/</w:t>
      </w:r>
      <w:r w:rsidRPr="00B73AB4">
        <w:rPr>
          <w:rFonts w:eastAsia="Calibri"/>
          <w:i/>
          <w:iCs/>
          <w:color w:val="0070C0"/>
          <w:lang w:eastAsia="en-US"/>
        </w:rPr>
        <w:t>Pildoma, kai pasitelkiami subtiekėjai, kuriais Tiekėjas nesiremia kvalifikacijai atitikti</w:t>
      </w:r>
      <w:r w:rsidRPr="00B73AB4">
        <w:rPr>
          <w:rFonts w:eastAsia="Calibri"/>
          <w:b/>
          <w:bCs/>
          <w:i/>
          <w:iCs/>
          <w:color w:val="0070C0"/>
          <w:lang w:eastAsia="en-US"/>
        </w:rPr>
        <w:t>/</w:t>
      </w:r>
      <w:r w:rsidRPr="00B73AB4">
        <w:rPr>
          <w:rFonts w:eastAsia="Calibri"/>
          <w:b/>
          <w:bCs/>
          <w:color w:val="0070C0"/>
          <w:lang w:eastAsia="en-US"/>
        </w:rPr>
        <w:t>:</w:t>
      </w:r>
    </w:p>
    <w:p w:rsidR="00B73AB4" w:rsidRPr="00B73AB4" w:rsidRDefault="00B73AB4" w:rsidP="00B73AB4">
      <w:pPr>
        <w:tabs>
          <w:tab w:val="left" w:pos="0"/>
          <w:tab w:val="left" w:pos="993"/>
          <w:tab w:val="left" w:pos="1440"/>
        </w:tabs>
        <w:ind w:firstLine="562"/>
        <w:jc w:val="both"/>
        <w:rPr>
          <w:rFonts w:eastAsia="Calibri"/>
          <w:highlight w:val="lightGray"/>
          <w:lang w:eastAsia="en-US"/>
        </w:rPr>
      </w:pPr>
      <w:r w:rsidRPr="00B73AB4">
        <w:rPr>
          <w:rFonts w:eastAsia="Calibri"/>
          <w:highlight w:val="lightGray"/>
          <w:lang w:eastAsia="en-US"/>
        </w:rPr>
        <w:t>[2. Kiti Pasiūlyme nurodyti ir Sutarties sudarymo metu žinomi subtiekėjai: ]</w:t>
      </w:r>
    </w:p>
    <w:p w:rsidR="00B73AB4" w:rsidRPr="00B73AB4" w:rsidRDefault="00B73AB4" w:rsidP="00B73AB4">
      <w:pPr>
        <w:tabs>
          <w:tab w:val="left" w:pos="0"/>
          <w:tab w:val="left" w:pos="993"/>
          <w:tab w:val="left" w:pos="1440"/>
        </w:tabs>
        <w:ind w:firstLine="562"/>
        <w:jc w:val="both"/>
        <w:rPr>
          <w:rFonts w:eastAsia="Calibri"/>
          <w:highlight w:val="lightGray"/>
          <w:lang w:eastAsia="en-US"/>
        </w:rPr>
      </w:pPr>
    </w:p>
    <w:tbl>
      <w:tblPr>
        <w:tblStyle w:val="TableGrid2"/>
        <w:tblW w:w="9639" w:type="dxa"/>
        <w:tblInd w:w="108" w:type="dxa"/>
        <w:tblLook w:val="04A0" w:firstRow="1" w:lastRow="0" w:firstColumn="1" w:lastColumn="0" w:noHBand="0" w:noVBand="1"/>
      </w:tblPr>
      <w:tblGrid>
        <w:gridCol w:w="779"/>
        <w:gridCol w:w="2508"/>
        <w:gridCol w:w="2641"/>
        <w:gridCol w:w="2108"/>
        <w:gridCol w:w="1603"/>
      </w:tblGrid>
      <w:tr w:rsidR="00B73AB4" w:rsidRPr="00B73AB4" w:rsidTr="00DC6E79">
        <w:trPr>
          <w:trHeight w:val="1232"/>
        </w:trPr>
        <w:tc>
          <w:tcPr>
            <w:tcW w:w="708" w:type="dxa"/>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Eil. Nr.</w:t>
            </w:r>
          </w:p>
        </w:tc>
        <w:tc>
          <w:tcPr>
            <w:tcW w:w="2553" w:type="dxa"/>
            <w:hideMark/>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Subtiekėjo pavadinimas</w:t>
            </w:r>
          </w:p>
        </w:tc>
        <w:tc>
          <w:tcPr>
            <w:tcW w:w="2693" w:type="dxa"/>
            <w:hideMark/>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 xml:space="preserve">Subtiekėjo atstovas ir jo kontaktiniai duomenys </w:t>
            </w:r>
          </w:p>
        </w:tc>
        <w:tc>
          <w:tcPr>
            <w:tcW w:w="2126" w:type="dxa"/>
            <w:hideMark/>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Perduodami įsipareigojimai (veiklos)</w:t>
            </w:r>
          </w:p>
        </w:tc>
        <w:tc>
          <w:tcPr>
            <w:tcW w:w="1559" w:type="dxa"/>
          </w:tcPr>
          <w:p w:rsidR="00B73AB4" w:rsidRPr="00B73AB4" w:rsidRDefault="00B73AB4" w:rsidP="00B73AB4">
            <w:pPr>
              <w:tabs>
                <w:tab w:val="left" w:pos="0"/>
                <w:tab w:val="left" w:pos="993"/>
                <w:tab w:val="left" w:pos="1440"/>
              </w:tabs>
              <w:spacing w:after="160" w:line="259" w:lineRule="auto"/>
              <w:jc w:val="center"/>
              <w:rPr>
                <w:highlight w:val="lightGray"/>
                <w:lang w:eastAsia="en-US"/>
              </w:rPr>
            </w:pPr>
            <w:r w:rsidRPr="00B73AB4">
              <w:rPr>
                <w:highlight w:val="lightGray"/>
                <w:lang w:eastAsia="en-US"/>
              </w:rPr>
              <w:t>Perduodamų įsipareigojimų (veiklos) dalis nuo visos Sutarties (</w:t>
            </w:r>
            <w:proofErr w:type="spellStart"/>
            <w:r w:rsidRPr="00B73AB4">
              <w:rPr>
                <w:highlight w:val="lightGray"/>
                <w:lang w:eastAsia="en-US"/>
              </w:rPr>
              <w:t>Eur</w:t>
            </w:r>
            <w:proofErr w:type="spellEnd"/>
            <w:r w:rsidRPr="00B73AB4">
              <w:rPr>
                <w:highlight w:val="lightGray"/>
                <w:lang w:eastAsia="en-US"/>
              </w:rPr>
              <w:t xml:space="preserve"> arba %)</w:t>
            </w:r>
          </w:p>
        </w:tc>
      </w:tr>
      <w:tr w:rsidR="00B73AB4" w:rsidRPr="00B73AB4" w:rsidTr="00DC6E79">
        <w:trPr>
          <w:trHeight w:val="979"/>
        </w:trPr>
        <w:tc>
          <w:tcPr>
            <w:tcW w:w="708" w:type="dxa"/>
          </w:tcPr>
          <w:p w:rsidR="00B73AB4" w:rsidRPr="00B73AB4" w:rsidRDefault="00B73AB4" w:rsidP="00B73AB4">
            <w:pPr>
              <w:tabs>
                <w:tab w:val="left" w:pos="0"/>
                <w:tab w:val="left" w:pos="993"/>
                <w:tab w:val="left" w:pos="1440"/>
              </w:tabs>
              <w:spacing w:after="160" w:line="259" w:lineRule="auto"/>
              <w:ind w:firstLine="562"/>
              <w:jc w:val="both"/>
              <w:rPr>
                <w:highlight w:val="lightGray"/>
                <w:lang w:eastAsia="en-US"/>
              </w:rPr>
            </w:pPr>
            <w:bookmarkStart w:id="2" w:name="_Hlk71124639"/>
          </w:p>
          <w:p w:rsidR="00B73AB4" w:rsidRPr="00B73AB4" w:rsidRDefault="00B73AB4" w:rsidP="00B73AB4">
            <w:pPr>
              <w:spacing w:after="160" w:line="259" w:lineRule="auto"/>
              <w:rPr>
                <w:highlight w:val="lightGray"/>
                <w:lang w:eastAsia="en-US"/>
              </w:rPr>
            </w:pPr>
            <w:r w:rsidRPr="00B73AB4">
              <w:rPr>
                <w:highlight w:val="lightGray"/>
                <w:lang w:eastAsia="en-US"/>
              </w:rPr>
              <w:t>1.</w:t>
            </w:r>
          </w:p>
        </w:tc>
        <w:tc>
          <w:tcPr>
            <w:tcW w:w="2553" w:type="dxa"/>
            <w:hideMark/>
          </w:tcPr>
          <w:p w:rsidR="00B73AB4" w:rsidRPr="00B73AB4" w:rsidRDefault="00B73AB4" w:rsidP="00B73AB4">
            <w:pPr>
              <w:tabs>
                <w:tab w:val="left" w:pos="0"/>
                <w:tab w:val="left" w:pos="993"/>
                <w:tab w:val="left" w:pos="1440"/>
              </w:tabs>
              <w:spacing w:after="160" w:line="259" w:lineRule="auto"/>
              <w:ind w:firstLine="562"/>
              <w:jc w:val="both"/>
              <w:rPr>
                <w:highlight w:val="lightGray"/>
                <w:lang w:eastAsia="en-US"/>
              </w:rPr>
            </w:pPr>
            <w:r w:rsidRPr="00B73AB4">
              <w:rPr>
                <w:highlight w:val="lightGray"/>
                <w:lang w:eastAsia="en-US"/>
              </w:rPr>
              <w:t> </w:t>
            </w:r>
          </w:p>
        </w:tc>
        <w:tc>
          <w:tcPr>
            <w:tcW w:w="2693" w:type="dxa"/>
            <w:hideMark/>
          </w:tcPr>
          <w:p w:rsidR="00B73AB4" w:rsidRPr="00B73AB4" w:rsidRDefault="00B73AB4" w:rsidP="00B73AB4">
            <w:pPr>
              <w:tabs>
                <w:tab w:val="left" w:pos="0"/>
                <w:tab w:val="left" w:pos="993"/>
                <w:tab w:val="left" w:pos="1440"/>
              </w:tabs>
              <w:spacing w:after="160" w:line="259" w:lineRule="auto"/>
              <w:ind w:firstLine="292"/>
              <w:jc w:val="both"/>
              <w:rPr>
                <w:lang w:eastAsia="en-US"/>
              </w:rPr>
            </w:pPr>
            <w:r w:rsidRPr="00B73AB4">
              <w:rPr>
                <w:highlight w:val="lightGray"/>
                <w:lang w:eastAsia="en-US"/>
              </w:rPr>
              <w:t> </w:t>
            </w:r>
            <w:r w:rsidRPr="00B73AB4">
              <w:rPr>
                <w:i/>
                <w:iCs/>
                <w:highlight w:val="lightGray"/>
                <w:lang w:eastAsia="en-US"/>
              </w:rPr>
              <w:t>Pildo Tiekėjas</w:t>
            </w:r>
          </w:p>
        </w:tc>
        <w:tc>
          <w:tcPr>
            <w:tcW w:w="2126" w:type="dxa"/>
            <w:hideMark/>
          </w:tcPr>
          <w:p w:rsidR="00B73AB4" w:rsidRPr="00B73AB4" w:rsidRDefault="00B73AB4" w:rsidP="00B73AB4">
            <w:pPr>
              <w:tabs>
                <w:tab w:val="left" w:pos="0"/>
                <w:tab w:val="left" w:pos="993"/>
                <w:tab w:val="left" w:pos="1440"/>
              </w:tabs>
              <w:spacing w:after="160" w:line="259" w:lineRule="auto"/>
              <w:ind w:firstLine="562"/>
              <w:jc w:val="both"/>
              <w:rPr>
                <w:lang w:eastAsia="en-US"/>
              </w:rPr>
            </w:pPr>
            <w:r w:rsidRPr="00B73AB4">
              <w:rPr>
                <w:lang w:eastAsia="en-US"/>
              </w:rPr>
              <w:t> </w:t>
            </w:r>
          </w:p>
        </w:tc>
        <w:tc>
          <w:tcPr>
            <w:tcW w:w="1559" w:type="dxa"/>
          </w:tcPr>
          <w:p w:rsidR="00B73AB4" w:rsidRPr="00B73AB4" w:rsidRDefault="00B73AB4" w:rsidP="00B73AB4">
            <w:pPr>
              <w:tabs>
                <w:tab w:val="left" w:pos="0"/>
                <w:tab w:val="left" w:pos="993"/>
                <w:tab w:val="left" w:pos="1440"/>
              </w:tabs>
              <w:spacing w:after="160" w:line="259" w:lineRule="auto"/>
              <w:ind w:firstLine="562"/>
              <w:jc w:val="both"/>
              <w:rPr>
                <w:lang w:eastAsia="en-US"/>
              </w:rPr>
            </w:pPr>
          </w:p>
        </w:tc>
      </w:tr>
      <w:bookmarkEnd w:id="2"/>
    </w:tbl>
    <w:p w:rsidR="00B73AB4" w:rsidRPr="00B73AB4" w:rsidRDefault="00B73AB4" w:rsidP="00B73AB4">
      <w:pPr>
        <w:tabs>
          <w:tab w:val="left" w:pos="0"/>
          <w:tab w:val="left" w:pos="993"/>
          <w:tab w:val="left" w:pos="1440"/>
        </w:tabs>
        <w:jc w:val="both"/>
        <w:rPr>
          <w:rFonts w:eastAsia="Calibri"/>
          <w:lang w:eastAsia="en-US"/>
        </w:rPr>
      </w:pPr>
    </w:p>
    <w:p w:rsidR="00B73AB4" w:rsidRPr="00B73AB4" w:rsidRDefault="00B73AB4" w:rsidP="00B73AB4">
      <w:pPr>
        <w:widowControl w:val="0"/>
        <w:autoSpaceDE w:val="0"/>
        <w:autoSpaceDN w:val="0"/>
        <w:adjustRightInd w:val="0"/>
        <w:ind w:firstLine="562"/>
        <w:rPr>
          <w:rFonts w:eastAsia="Calibri"/>
          <w:color w:val="00B050"/>
          <w:lang w:eastAsia="en-US"/>
        </w:rPr>
      </w:pPr>
      <w:r w:rsidRPr="00B73AB4">
        <w:rPr>
          <w:b/>
          <w:i/>
          <w:color w:val="0070C0"/>
        </w:rPr>
        <w:t>/</w:t>
      </w:r>
      <w:r w:rsidRPr="00B73AB4">
        <w:rPr>
          <w:bCs/>
          <w:i/>
          <w:color w:val="0070C0"/>
        </w:rPr>
        <w:t>Kai pasitelkiami specialistai, pateikiamas jų sąrašas</w:t>
      </w:r>
      <w:r w:rsidRPr="00B73AB4">
        <w:rPr>
          <w:b/>
          <w:i/>
          <w:color w:val="0070C0"/>
        </w:rPr>
        <w:t>/:</w:t>
      </w:r>
    </w:p>
    <w:p w:rsidR="00B73AB4" w:rsidRPr="00B73AB4" w:rsidRDefault="00B73AB4" w:rsidP="00B73AB4">
      <w:pPr>
        <w:tabs>
          <w:tab w:val="left" w:pos="0"/>
          <w:tab w:val="left" w:pos="993"/>
          <w:tab w:val="left" w:pos="1440"/>
        </w:tabs>
        <w:ind w:firstLine="562"/>
        <w:jc w:val="both"/>
        <w:rPr>
          <w:rFonts w:eastAsia="Calibri"/>
          <w:highlight w:val="lightGray"/>
          <w:lang w:eastAsia="en-US"/>
        </w:rPr>
      </w:pPr>
      <w:r w:rsidRPr="00B73AB4">
        <w:rPr>
          <w:rFonts w:eastAsia="Calibri"/>
          <w:highlight w:val="lightGray"/>
          <w:lang w:eastAsia="en-US"/>
        </w:rPr>
        <w:t xml:space="preserve">[3. Sutartį vykdysiančių specialistų sąrašas: </w:t>
      </w:r>
    </w:p>
    <w:p w:rsidR="00B73AB4" w:rsidRPr="00B73AB4" w:rsidRDefault="00B73AB4" w:rsidP="00B73AB4">
      <w:pPr>
        <w:tabs>
          <w:tab w:val="left" w:pos="0"/>
          <w:tab w:val="left" w:pos="993"/>
          <w:tab w:val="left" w:pos="1440"/>
        </w:tabs>
        <w:ind w:firstLine="562"/>
        <w:jc w:val="both"/>
        <w:rPr>
          <w:rFonts w:eastAsia="Calibri"/>
          <w:highlight w:val="lightGray"/>
          <w:lang w:eastAsia="en-US"/>
        </w:rPr>
      </w:pPr>
    </w:p>
    <w:tbl>
      <w:tblPr>
        <w:tblStyle w:val="TableGrid2"/>
        <w:tblW w:w="9639" w:type="dxa"/>
        <w:tblInd w:w="108" w:type="dxa"/>
        <w:tblLook w:val="04A0" w:firstRow="1" w:lastRow="0" w:firstColumn="1" w:lastColumn="0" w:noHBand="0" w:noVBand="1"/>
      </w:tblPr>
      <w:tblGrid>
        <w:gridCol w:w="4182"/>
        <w:gridCol w:w="5457"/>
      </w:tblGrid>
      <w:tr w:rsidR="00B73AB4" w:rsidRPr="00B73AB4" w:rsidTr="00DC6E79">
        <w:tc>
          <w:tcPr>
            <w:tcW w:w="9639" w:type="dxa"/>
            <w:gridSpan w:val="2"/>
          </w:tcPr>
          <w:p w:rsidR="00B73AB4" w:rsidRPr="00B73AB4" w:rsidRDefault="00B73AB4" w:rsidP="00B73AB4">
            <w:pPr>
              <w:ind w:firstLine="562"/>
              <w:jc w:val="center"/>
              <w:outlineLvl w:val="0"/>
              <w:rPr>
                <w:rFonts w:eastAsia="Arial Unicode MS"/>
                <w:b/>
                <w:bCs/>
                <w:caps/>
                <w:spacing w:val="4"/>
              </w:rPr>
            </w:pPr>
            <w:bookmarkStart w:id="3" w:name="_Hlk81577692"/>
            <w:r w:rsidRPr="00B73AB4">
              <w:rPr>
                <w:rFonts w:eastAsia="Arial Unicode MS"/>
                <w:b/>
                <w:bCs/>
                <w:spacing w:val="4"/>
              </w:rPr>
              <w:t>ŠALIŲ PARAŠAI</w:t>
            </w:r>
          </w:p>
          <w:p w:rsidR="00B73AB4" w:rsidRPr="00B73AB4" w:rsidRDefault="00B73AB4" w:rsidP="00B73AB4">
            <w:pPr>
              <w:shd w:val="clear" w:color="auto" w:fill="FFFFFF"/>
              <w:tabs>
                <w:tab w:val="left" w:pos="426"/>
              </w:tabs>
              <w:ind w:left="630"/>
              <w:contextualSpacing/>
              <w:jc w:val="both"/>
              <w:rPr>
                <w:rFonts w:eastAsia="Calibri"/>
                <w:lang w:eastAsia="en-US"/>
              </w:rPr>
            </w:pPr>
          </w:p>
        </w:tc>
      </w:tr>
      <w:tr w:rsidR="00B73AB4" w:rsidRPr="00B73AB4" w:rsidTr="00DC6E79">
        <w:tc>
          <w:tcPr>
            <w:tcW w:w="4182" w:type="dxa"/>
          </w:tcPr>
          <w:p w:rsidR="00B73AB4" w:rsidRPr="00B73AB4" w:rsidRDefault="00B73AB4" w:rsidP="00B73AB4">
            <w:pPr>
              <w:suppressAutoHyphens/>
              <w:spacing w:after="160" w:line="259" w:lineRule="auto"/>
              <w:ind w:firstLine="562"/>
              <w:jc w:val="both"/>
              <w:rPr>
                <w:rFonts w:eastAsia="Arial Unicode MS"/>
                <w:highlight w:val="lightGray"/>
                <w:bdr w:val="nil"/>
                <w:lang w:eastAsia="en-US"/>
              </w:rPr>
            </w:pPr>
            <w:r w:rsidRPr="00B73AB4">
              <w:rPr>
                <w:rFonts w:eastAsia="Arial Unicode MS"/>
                <w:highlight w:val="lightGray"/>
                <w:bdr w:val="nil"/>
                <w:lang w:eastAsia="en-US"/>
              </w:rPr>
              <w:t>Pirkėjo atstovo vardas, pavardė</w:t>
            </w:r>
          </w:p>
          <w:p w:rsidR="00B73AB4" w:rsidRPr="00B73AB4" w:rsidRDefault="00B73AB4" w:rsidP="00B73AB4">
            <w:pPr>
              <w:suppressAutoHyphens/>
              <w:spacing w:after="160" w:line="259" w:lineRule="auto"/>
              <w:ind w:firstLine="562"/>
              <w:jc w:val="both"/>
              <w:rPr>
                <w:rFonts w:eastAsia="Arial Unicode MS"/>
                <w:bdr w:val="nil"/>
                <w:lang w:eastAsia="en-US"/>
              </w:rPr>
            </w:pPr>
            <w:r w:rsidRPr="00B73AB4">
              <w:rPr>
                <w:rFonts w:eastAsia="Arial Unicode MS"/>
                <w:highlight w:val="lightGray"/>
                <w:bdr w:val="nil"/>
                <w:lang w:eastAsia="en-US"/>
              </w:rPr>
              <w:t>Atstovo pareigos</w:t>
            </w:r>
          </w:p>
          <w:p w:rsidR="00B73AB4" w:rsidRPr="00B73AB4" w:rsidRDefault="00B73AB4" w:rsidP="00B73AB4">
            <w:pPr>
              <w:suppressAutoHyphens/>
              <w:spacing w:line="259" w:lineRule="auto"/>
              <w:ind w:firstLine="561"/>
              <w:jc w:val="both"/>
              <w:rPr>
                <w:rFonts w:eastAsia="Arial Unicode MS"/>
                <w:bdr w:val="nil"/>
                <w:lang w:eastAsia="en-US"/>
              </w:rPr>
            </w:pPr>
            <w:r w:rsidRPr="00B73AB4">
              <w:rPr>
                <w:rFonts w:eastAsia="Arial Unicode MS"/>
                <w:bdr w:val="nil"/>
                <w:lang w:eastAsia="en-US"/>
              </w:rPr>
              <w:t>______________</w:t>
            </w:r>
          </w:p>
          <w:p w:rsidR="00B73AB4" w:rsidRPr="00B73AB4" w:rsidRDefault="00B73AB4" w:rsidP="00B73AB4">
            <w:pPr>
              <w:suppressAutoHyphens/>
              <w:spacing w:line="259" w:lineRule="auto"/>
              <w:ind w:firstLine="561"/>
              <w:jc w:val="both"/>
              <w:rPr>
                <w:rFonts w:eastAsia="Arial Unicode MS"/>
                <w:bdr w:val="nil"/>
                <w:vertAlign w:val="superscript"/>
                <w:lang w:eastAsia="en-US"/>
              </w:rPr>
            </w:pPr>
            <w:r w:rsidRPr="00B73AB4">
              <w:rPr>
                <w:rFonts w:eastAsia="Arial Unicode MS"/>
                <w:bdr w:val="nil"/>
                <w:vertAlign w:val="superscript"/>
                <w:lang w:eastAsia="en-US"/>
              </w:rPr>
              <w:t>(parašas)</w:t>
            </w:r>
          </w:p>
        </w:tc>
        <w:tc>
          <w:tcPr>
            <w:tcW w:w="5457" w:type="dxa"/>
          </w:tcPr>
          <w:p w:rsidR="00B73AB4" w:rsidRPr="00B73AB4" w:rsidRDefault="00B73AB4" w:rsidP="00B73AB4">
            <w:pPr>
              <w:suppressAutoHyphens/>
              <w:spacing w:after="160" w:line="259" w:lineRule="auto"/>
              <w:ind w:firstLine="562"/>
              <w:jc w:val="both"/>
              <w:rPr>
                <w:rFonts w:eastAsia="Arial Unicode MS"/>
                <w:highlight w:val="lightGray"/>
                <w:bdr w:val="nil"/>
                <w:lang w:eastAsia="en-US"/>
              </w:rPr>
            </w:pPr>
            <w:r w:rsidRPr="00B73AB4">
              <w:rPr>
                <w:rFonts w:eastAsia="Arial Unicode MS"/>
                <w:highlight w:val="lightGray"/>
                <w:bdr w:val="nil"/>
                <w:lang w:eastAsia="en-US"/>
              </w:rPr>
              <w:t>Tiekėjo atstovo vardas, pavardė</w:t>
            </w:r>
          </w:p>
          <w:p w:rsidR="00B73AB4" w:rsidRPr="00B73AB4" w:rsidRDefault="00B73AB4" w:rsidP="00B73AB4">
            <w:pPr>
              <w:suppressAutoHyphens/>
              <w:spacing w:after="160" w:line="259" w:lineRule="auto"/>
              <w:ind w:firstLine="562"/>
              <w:jc w:val="both"/>
              <w:rPr>
                <w:rFonts w:eastAsia="Arial Unicode MS"/>
                <w:bdr w:val="nil"/>
                <w:lang w:eastAsia="en-US"/>
              </w:rPr>
            </w:pPr>
            <w:r w:rsidRPr="00B73AB4">
              <w:rPr>
                <w:rFonts w:eastAsia="Arial Unicode MS"/>
                <w:highlight w:val="lightGray"/>
                <w:bdr w:val="nil"/>
                <w:lang w:eastAsia="en-US"/>
              </w:rPr>
              <w:t>Atstovo pareigos</w:t>
            </w:r>
          </w:p>
          <w:p w:rsidR="00B73AB4" w:rsidRPr="00B73AB4" w:rsidRDefault="00B73AB4" w:rsidP="00B73AB4">
            <w:pPr>
              <w:suppressAutoHyphens/>
              <w:spacing w:line="259" w:lineRule="auto"/>
              <w:ind w:firstLine="561"/>
              <w:jc w:val="both"/>
              <w:rPr>
                <w:rFonts w:eastAsia="Arial Unicode MS"/>
                <w:bdr w:val="nil"/>
                <w:lang w:eastAsia="en-US"/>
              </w:rPr>
            </w:pPr>
            <w:r w:rsidRPr="00B73AB4">
              <w:rPr>
                <w:rFonts w:eastAsia="Arial Unicode MS"/>
                <w:bdr w:val="nil"/>
                <w:lang w:eastAsia="en-US"/>
              </w:rPr>
              <w:t>______________</w:t>
            </w:r>
          </w:p>
          <w:p w:rsidR="00B73AB4" w:rsidRPr="00B73AB4" w:rsidRDefault="00B73AB4" w:rsidP="00B73AB4">
            <w:pPr>
              <w:suppressAutoHyphens/>
              <w:spacing w:line="259" w:lineRule="auto"/>
              <w:ind w:firstLine="561"/>
              <w:jc w:val="both"/>
              <w:rPr>
                <w:rFonts w:eastAsia="Arial Unicode MS"/>
                <w:bdr w:val="nil"/>
                <w:vertAlign w:val="superscript"/>
                <w:lang w:eastAsia="en-US"/>
              </w:rPr>
            </w:pPr>
            <w:r w:rsidRPr="00B73AB4">
              <w:rPr>
                <w:rFonts w:eastAsia="Arial Unicode MS"/>
                <w:bdr w:val="nil"/>
                <w:vertAlign w:val="superscript"/>
                <w:lang w:eastAsia="en-US"/>
              </w:rPr>
              <w:t>(parašas)</w:t>
            </w:r>
          </w:p>
          <w:p w:rsidR="00B73AB4" w:rsidRPr="00B73AB4" w:rsidRDefault="00B73AB4" w:rsidP="00B73AB4">
            <w:pPr>
              <w:ind w:firstLine="562"/>
              <w:outlineLvl w:val="0"/>
              <w:rPr>
                <w:rFonts w:eastAsia="Arial Unicode MS"/>
                <w:b/>
                <w:bCs/>
                <w:spacing w:val="4"/>
              </w:rPr>
            </w:pPr>
          </w:p>
        </w:tc>
      </w:tr>
      <w:bookmarkEnd w:id="3"/>
    </w:tbl>
    <w:p w:rsidR="00B73AB4" w:rsidRPr="00B73AB4" w:rsidRDefault="00B73AB4" w:rsidP="00B73AB4">
      <w:pPr>
        <w:rPr>
          <w:szCs w:val="20"/>
          <w:lang w:eastAsia="en-US"/>
        </w:rPr>
      </w:pPr>
    </w:p>
    <w:p w:rsidR="00B73AB4" w:rsidRPr="00B30A82" w:rsidRDefault="00B73AB4" w:rsidP="00B30A82">
      <w:pPr>
        <w:spacing w:line="276" w:lineRule="auto"/>
        <w:jc w:val="both"/>
        <w:rPr>
          <w:rFonts w:eastAsia="Calibri"/>
          <w:lang w:val="en-US" w:eastAsia="en-US"/>
        </w:rPr>
      </w:pPr>
    </w:p>
    <w:sectPr w:rsidR="00B73AB4" w:rsidRPr="00B30A82" w:rsidSect="00B30A82">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A9C" w:rsidRDefault="00AC6A9C">
      <w:r>
        <w:separator/>
      </w:r>
    </w:p>
  </w:endnote>
  <w:endnote w:type="continuationSeparator" w:id="0">
    <w:p w:rsidR="00AC6A9C" w:rsidRDefault="00AC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A9C" w:rsidRDefault="00AC6A9C">
      <w:r>
        <w:separator/>
      </w:r>
    </w:p>
  </w:footnote>
  <w:footnote w:type="continuationSeparator" w:id="0">
    <w:p w:rsidR="00AC6A9C" w:rsidRDefault="00AC6A9C">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D5012F">
      <w:rPr>
        <w:noProof/>
      </w:rPr>
      <w:t>15</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4409"/>
    <w:rsid w:val="000567EE"/>
    <w:rsid w:val="000610D6"/>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C18D2"/>
    <w:rsid w:val="000C2EF7"/>
    <w:rsid w:val="000C3C8E"/>
    <w:rsid w:val="000D0A8F"/>
    <w:rsid w:val="000D1313"/>
    <w:rsid w:val="000D1E6D"/>
    <w:rsid w:val="000D350F"/>
    <w:rsid w:val="000D3D2E"/>
    <w:rsid w:val="000E19D0"/>
    <w:rsid w:val="000E24B2"/>
    <w:rsid w:val="000E29A0"/>
    <w:rsid w:val="000F0EB8"/>
    <w:rsid w:val="000F2E26"/>
    <w:rsid w:val="00101088"/>
    <w:rsid w:val="0010187A"/>
    <w:rsid w:val="001026C4"/>
    <w:rsid w:val="00103C7A"/>
    <w:rsid w:val="0010604E"/>
    <w:rsid w:val="00106FE6"/>
    <w:rsid w:val="0010702E"/>
    <w:rsid w:val="00120A77"/>
    <w:rsid w:val="00121237"/>
    <w:rsid w:val="0012239F"/>
    <w:rsid w:val="001247E7"/>
    <w:rsid w:val="00127849"/>
    <w:rsid w:val="00134EA0"/>
    <w:rsid w:val="0013714B"/>
    <w:rsid w:val="00140424"/>
    <w:rsid w:val="00140556"/>
    <w:rsid w:val="00140EF8"/>
    <w:rsid w:val="00144F4F"/>
    <w:rsid w:val="00145088"/>
    <w:rsid w:val="00145C1D"/>
    <w:rsid w:val="001476D7"/>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2221"/>
    <w:rsid w:val="001956A6"/>
    <w:rsid w:val="0019669C"/>
    <w:rsid w:val="001A3480"/>
    <w:rsid w:val="001A3760"/>
    <w:rsid w:val="001A4291"/>
    <w:rsid w:val="001A5E6A"/>
    <w:rsid w:val="001A7B7D"/>
    <w:rsid w:val="001B14A6"/>
    <w:rsid w:val="001B3015"/>
    <w:rsid w:val="001C39A9"/>
    <w:rsid w:val="001C4405"/>
    <w:rsid w:val="001C756B"/>
    <w:rsid w:val="001D4618"/>
    <w:rsid w:val="001E2C99"/>
    <w:rsid w:val="001E2FB7"/>
    <w:rsid w:val="001E58A3"/>
    <w:rsid w:val="00201D32"/>
    <w:rsid w:val="002035B2"/>
    <w:rsid w:val="00207DD3"/>
    <w:rsid w:val="00211220"/>
    <w:rsid w:val="002127B9"/>
    <w:rsid w:val="002139D8"/>
    <w:rsid w:val="00215952"/>
    <w:rsid w:val="002166BE"/>
    <w:rsid w:val="00216B9D"/>
    <w:rsid w:val="0022491F"/>
    <w:rsid w:val="00226E10"/>
    <w:rsid w:val="00230596"/>
    <w:rsid w:val="002340B5"/>
    <w:rsid w:val="00234BD3"/>
    <w:rsid w:val="00240DE2"/>
    <w:rsid w:val="00245BE0"/>
    <w:rsid w:val="00246F7A"/>
    <w:rsid w:val="002530CF"/>
    <w:rsid w:val="00254ADF"/>
    <w:rsid w:val="00256250"/>
    <w:rsid w:val="002577C7"/>
    <w:rsid w:val="002761F1"/>
    <w:rsid w:val="0028460C"/>
    <w:rsid w:val="0029383A"/>
    <w:rsid w:val="002976AB"/>
    <w:rsid w:val="002A0421"/>
    <w:rsid w:val="002A177A"/>
    <w:rsid w:val="002A588F"/>
    <w:rsid w:val="002B0141"/>
    <w:rsid w:val="002B02CC"/>
    <w:rsid w:val="002B0644"/>
    <w:rsid w:val="002B21B2"/>
    <w:rsid w:val="002B601C"/>
    <w:rsid w:val="002B6A7C"/>
    <w:rsid w:val="002B7628"/>
    <w:rsid w:val="002C2AC9"/>
    <w:rsid w:val="002C5032"/>
    <w:rsid w:val="002C5689"/>
    <w:rsid w:val="002D54CF"/>
    <w:rsid w:val="002D76FC"/>
    <w:rsid w:val="002E158A"/>
    <w:rsid w:val="002E192F"/>
    <w:rsid w:val="002E2320"/>
    <w:rsid w:val="002F14C7"/>
    <w:rsid w:val="002F501E"/>
    <w:rsid w:val="002F7051"/>
    <w:rsid w:val="00300037"/>
    <w:rsid w:val="0030605E"/>
    <w:rsid w:val="00314E97"/>
    <w:rsid w:val="003230E2"/>
    <w:rsid w:val="00323735"/>
    <w:rsid w:val="00324EE5"/>
    <w:rsid w:val="00331209"/>
    <w:rsid w:val="003315AD"/>
    <w:rsid w:val="00331966"/>
    <w:rsid w:val="00347F6B"/>
    <w:rsid w:val="0035096C"/>
    <w:rsid w:val="00350ADC"/>
    <w:rsid w:val="00353725"/>
    <w:rsid w:val="00354A22"/>
    <w:rsid w:val="00356308"/>
    <w:rsid w:val="00364D48"/>
    <w:rsid w:val="003672FE"/>
    <w:rsid w:val="00372210"/>
    <w:rsid w:val="0037682E"/>
    <w:rsid w:val="00386B69"/>
    <w:rsid w:val="00390740"/>
    <w:rsid w:val="00395ABF"/>
    <w:rsid w:val="003A0C1D"/>
    <w:rsid w:val="003A259B"/>
    <w:rsid w:val="003A2CEE"/>
    <w:rsid w:val="003A452E"/>
    <w:rsid w:val="003A7B63"/>
    <w:rsid w:val="003B64FD"/>
    <w:rsid w:val="003C2FF9"/>
    <w:rsid w:val="003E04CF"/>
    <w:rsid w:val="003E14F0"/>
    <w:rsid w:val="003E3806"/>
    <w:rsid w:val="003E3C7A"/>
    <w:rsid w:val="003E426D"/>
    <w:rsid w:val="003F05F6"/>
    <w:rsid w:val="003F0C06"/>
    <w:rsid w:val="003F2219"/>
    <w:rsid w:val="003F54A8"/>
    <w:rsid w:val="004072E6"/>
    <w:rsid w:val="0041227B"/>
    <w:rsid w:val="004123D1"/>
    <w:rsid w:val="00414E72"/>
    <w:rsid w:val="00424903"/>
    <w:rsid w:val="004278A8"/>
    <w:rsid w:val="00427FDA"/>
    <w:rsid w:val="00432F95"/>
    <w:rsid w:val="00434EAB"/>
    <w:rsid w:val="00435A03"/>
    <w:rsid w:val="00435AEB"/>
    <w:rsid w:val="00437AED"/>
    <w:rsid w:val="00445E38"/>
    <w:rsid w:val="004500FB"/>
    <w:rsid w:val="004505DA"/>
    <w:rsid w:val="00453F50"/>
    <w:rsid w:val="00457AD3"/>
    <w:rsid w:val="00461347"/>
    <w:rsid w:val="004635A0"/>
    <w:rsid w:val="0046409F"/>
    <w:rsid w:val="00465C11"/>
    <w:rsid w:val="004726A0"/>
    <w:rsid w:val="00474178"/>
    <w:rsid w:val="00477A04"/>
    <w:rsid w:val="00493A30"/>
    <w:rsid w:val="004975E7"/>
    <w:rsid w:val="004A1813"/>
    <w:rsid w:val="004A519D"/>
    <w:rsid w:val="004A79F8"/>
    <w:rsid w:val="004B08E7"/>
    <w:rsid w:val="004B45B1"/>
    <w:rsid w:val="004D5396"/>
    <w:rsid w:val="004D6B00"/>
    <w:rsid w:val="004E1D41"/>
    <w:rsid w:val="004E367C"/>
    <w:rsid w:val="004E5C43"/>
    <w:rsid w:val="004F0014"/>
    <w:rsid w:val="004F0846"/>
    <w:rsid w:val="004F1EB7"/>
    <w:rsid w:val="004F4928"/>
    <w:rsid w:val="004F5C80"/>
    <w:rsid w:val="004F7C00"/>
    <w:rsid w:val="005033EE"/>
    <w:rsid w:val="00504DAC"/>
    <w:rsid w:val="005061C4"/>
    <w:rsid w:val="00507EB8"/>
    <w:rsid w:val="005113CB"/>
    <w:rsid w:val="00515FB4"/>
    <w:rsid w:val="00516509"/>
    <w:rsid w:val="00531948"/>
    <w:rsid w:val="00533814"/>
    <w:rsid w:val="005340FC"/>
    <w:rsid w:val="00534E56"/>
    <w:rsid w:val="00535BD4"/>
    <w:rsid w:val="00535EB2"/>
    <w:rsid w:val="00543EA4"/>
    <w:rsid w:val="00550E07"/>
    <w:rsid w:val="005565B3"/>
    <w:rsid w:val="00556EE2"/>
    <w:rsid w:val="00562B76"/>
    <w:rsid w:val="005656ED"/>
    <w:rsid w:val="00566D7F"/>
    <w:rsid w:val="005764B3"/>
    <w:rsid w:val="00576B89"/>
    <w:rsid w:val="005828D0"/>
    <w:rsid w:val="00586419"/>
    <w:rsid w:val="005920C6"/>
    <w:rsid w:val="00597C2E"/>
    <w:rsid w:val="005A1C01"/>
    <w:rsid w:val="005C1B48"/>
    <w:rsid w:val="005C2463"/>
    <w:rsid w:val="005C29A5"/>
    <w:rsid w:val="005C325F"/>
    <w:rsid w:val="005D462E"/>
    <w:rsid w:val="005D5E6A"/>
    <w:rsid w:val="005D7845"/>
    <w:rsid w:val="005E519C"/>
    <w:rsid w:val="005E606E"/>
    <w:rsid w:val="005E627E"/>
    <w:rsid w:val="005E72B1"/>
    <w:rsid w:val="005F32C6"/>
    <w:rsid w:val="005F5F76"/>
    <w:rsid w:val="006035C7"/>
    <w:rsid w:val="00603D2E"/>
    <w:rsid w:val="00605AD6"/>
    <w:rsid w:val="00615ED2"/>
    <w:rsid w:val="006179FB"/>
    <w:rsid w:val="00623015"/>
    <w:rsid w:val="006241CF"/>
    <w:rsid w:val="00625B61"/>
    <w:rsid w:val="00631DF8"/>
    <w:rsid w:val="006363ED"/>
    <w:rsid w:val="00637637"/>
    <w:rsid w:val="006425E5"/>
    <w:rsid w:val="00643742"/>
    <w:rsid w:val="00643A16"/>
    <w:rsid w:val="00646C0C"/>
    <w:rsid w:val="00647E19"/>
    <w:rsid w:val="00654BC4"/>
    <w:rsid w:val="006644F0"/>
    <w:rsid w:val="00664D42"/>
    <w:rsid w:val="0066705E"/>
    <w:rsid w:val="00670005"/>
    <w:rsid w:val="006725F2"/>
    <w:rsid w:val="00672AA7"/>
    <w:rsid w:val="006778CB"/>
    <w:rsid w:val="00677CFB"/>
    <w:rsid w:val="0068555C"/>
    <w:rsid w:val="0068785C"/>
    <w:rsid w:val="00690634"/>
    <w:rsid w:val="006910E5"/>
    <w:rsid w:val="00694DB5"/>
    <w:rsid w:val="006A1110"/>
    <w:rsid w:val="006A7A32"/>
    <w:rsid w:val="006B3056"/>
    <w:rsid w:val="006B3F6B"/>
    <w:rsid w:val="006B4C3C"/>
    <w:rsid w:val="006B6472"/>
    <w:rsid w:val="006C0313"/>
    <w:rsid w:val="006C2AE0"/>
    <w:rsid w:val="006C735F"/>
    <w:rsid w:val="006C753F"/>
    <w:rsid w:val="006C7A00"/>
    <w:rsid w:val="006D32E2"/>
    <w:rsid w:val="006D40D2"/>
    <w:rsid w:val="006D5319"/>
    <w:rsid w:val="006E1B4F"/>
    <w:rsid w:val="006E2CE0"/>
    <w:rsid w:val="006E5F22"/>
    <w:rsid w:val="006E7E9C"/>
    <w:rsid w:val="00704F63"/>
    <w:rsid w:val="007057FE"/>
    <w:rsid w:val="00706FA8"/>
    <w:rsid w:val="00717B8D"/>
    <w:rsid w:val="00720B51"/>
    <w:rsid w:val="007258A5"/>
    <w:rsid w:val="00726A92"/>
    <w:rsid w:val="00726CD6"/>
    <w:rsid w:val="00736323"/>
    <w:rsid w:val="007404F0"/>
    <w:rsid w:val="0074128E"/>
    <w:rsid w:val="00744106"/>
    <w:rsid w:val="00751D78"/>
    <w:rsid w:val="00760C3A"/>
    <w:rsid w:val="00761264"/>
    <w:rsid w:val="007648E2"/>
    <w:rsid w:val="00775E3A"/>
    <w:rsid w:val="007817CA"/>
    <w:rsid w:val="0079345C"/>
    <w:rsid w:val="007936E4"/>
    <w:rsid w:val="007A2C84"/>
    <w:rsid w:val="007B11A5"/>
    <w:rsid w:val="007B1CB8"/>
    <w:rsid w:val="007B6B43"/>
    <w:rsid w:val="007B7000"/>
    <w:rsid w:val="007C0AFD"/>
    <w:rsid w:val="007C1859"/>
    <w:rsid w:val="007C5E96"/>
    <w:rsid w:val="007C738A"/>
    <w:rsid w:val="007D28EB"/>
    <w:rsid w:val="007D3E1C"/>
    <w:rsid w:val="007D4EA7"/>
    <w:rsid w:val="007D76A1"/>
    <w:rsid w:val="007F1378"/>
    <w:rsid w:val="007F3A6F"/>
    <w:rsid w:val="007F3FDA"/>
    <w:rsid w:val="007F6838"/>
    <w:rsid w:val="007F723F"/>
    <w:rsid w:val="008007EA"/>
    <w:rsid w:val="00803CFE"/>
    <w:rsid w:val="008046F2"/>
    <w:rsid w:val="00810328"/>
    <w:rsid w:val="00811476"/>
    <w:rsid w:val="0081279E"/>
    <w:rsid w:val="008146A0"/>
    <w:rsid w:val="00816055"/>
    <w:rsid w:val="0081797F"/>
    <w:rsid w:val="00820F7D"/>
    <w:rsid w:val="008268AE"/>
    <w:rsid w:val="00827AA3"/>
    <w:rsid w:val="00833F34"/>
    <w:rsid w:val="00835DCA"/>
    <w:rsid w:val="00837D2A"/>
    <w:rsid w:val="00847DF7"/>
    <w:rsid w:val="008548CF"/>
    <w:rsid w:val="00857575"/>
    <w:rsid w:val="008576F2"/>
    <w:rsid w:val="00860A90"/>
    <w:rsid w:val="00860F29"/>
    <w:rsid w:val="008743D0"/>
    <w:rsid w:val="00874D9A"/>
    <w:rsid w:val="00880BB5"/>
    <w:rsid w:val="00880CD8"/>
    <w:rsid w:val="00882525"/>
    <w:rsid w:val="008914FC"/>
    <w:rsid w:val="008936C1"/>
    <w:rsid w:val="00893E50"/>
    <w:rsid w:val="008A2236"/>
    <w:rsid w:val="008A2864"/>
    <w:rsid w:val="008B25C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933"/>
    <w:rsid w:val="008F3B0A"/>
    <w:rsid w:val="008F5D45"/>
    <w:rsid w:val="00902020"/>
    <w:rsid w:val="00911DDC"/>
    <w:rsid w:val="00911EE3"/>
    <w:rsid w:val="00914129"/>
    <w:rsid w:val="00921672"/>
    <w:rsid w:val="00923A29"/>
    <w:rsid w:val="00924461"/>
    <w:rsid w:val="00924E61"/>
    <w:rsid w:val="00930586"/>
    <w:rsid w:val="0093326A"/>
    <w:rsid w:val="009340AA"/>
    <w:rsid w:val="00935EAC"/>
    <w:rsid w:val="00942FEE"/>
    <w:rsid w:val="00953DB6"/>
    <w:rsid w:val="009617FC"/>
    <w:rsid w:val="00961A1A"/>
    <w:rsid w:val="00961C75"/>
    <w:rsid w:val="009650AD"/>
    <w:rsid w:val="00971626"/>
    <w:rsid w:val="00976AA4"/>
    <w:rsid w:val="00977A8D"/>
    <w:rsid w:val="009825DB"/>
    <w:rsid w:val="009845AC"/>
    <w:rsid w:val="00986D27"/>
    <w:rsid w:val="0099006A"/>
    <w:rsid w:val="00990D9C"/>
    <w:rsid w:val="00993B60"/>
    <w:rsid w:val="00994A62"/>
    <w:rsid w:val="009956BF"/>
    <w:rsid w:val="009A18AD"/>
    <w:rsid w:val="009A27D5"/>
    <w:rsid w:val="009B2AFF"/>
    <w:rsid w:val="009B4B0D"/>
    <w:rsid w:val="009C2878"/>
    <w:rsid w:val="009C4586"/>
    <w:rsid w:val="009C5E4A"/>
    <w:rsid w:val="009D139A"/>
    <w:rsid w:val="009D2406"/>
    <w:rsid w:val="009D270B"/>
    <w:rsid w:val="009D7713"/>
    <w:rsid w:val="009D7D63"/>
    <w:rsid w:val="009E1DE7"/>
    <w:rsid w:val="009E5C55"/>
    <w:rsid w:val="009F1E59"/>
    <w:rsid w:val="009F2518"/>
    <w:rsid w:val="009F28AD"/>
    <w:rsid w:val="00A00364"/>
    <w:rsid w:val="00A036C7"/>
    <w:rsid w:val="00A07057"/>
    <w:rsid w:val="00A10AE0"/>
    <w:rsid w:val="00A12D20"/>
    <w:rsid w:val="00A170FF"/>
    <w:rsid w:val="00A179BF"/>
    <w:rsid w:val="00A307D6"/>
    <w:rsid w:val="00A3091A"/>
    <w:rsid w:val="00A374B7"/>
    <w:rsid w:val="00A43A14"/>
    <w:rsid w:val="00A46006"/>
    <w:rsid w:val="00A46B52"/>
    <w:rsid w:val="00A46EFB"/>
    <w:rsid w:val="00A52DA8"/>
    <w:rsid w:val="00A53097"/>
    <w:rsid w:val="00A53C19"/>
    <w:rsid w:val="00A54779"/>
    <w:rsid w:val="00A5680A"/>
    <w:rsid w:val="00A6397F"/>
    <w:rsid w:val="00A64A50"/>
    <w:rsid w:val="00A663AD"/>
    <w:rsid w:val="00A73A3B"/>
    <w:rsid w:val="00A745FB"/>
    <w:rsid w:val="00A77A6E"/>
    <w:rsid w:val="00A82359"/>
    <w:rsid w:val="00A84F67"/>
    <w:rsid w:val="00A85070"/>
    <w:rsid w:val="00A87C53"/>
    <w:rsid w:val="00A9208F"/>
    <w:rsid w:val="00A972C2"/>
    <w:rsid w:val="00AA297C"/>
    <w:rsid w:val="00AB1939"/>
    <w:rsid w:val="00AB31A6"/>
    <w:rsid w:val="00AB4BB5"/>
    <w:rsid w:val="00AB50E4"/>
    <w:rsid w:val="00AB5FFB"/>
    <w:rsid w:val="00AC0F21"/>
    <w:rsid w:val="00AC6A9C"/>
    <w:rsid w:val="00AD5C52"/>
    <w:rsid w:val="00AD6769"/>
    <w:rsid w:val="00AD7FA9"/>
    <w:rsid w:val="00AE0338"/>
    <w:rsid w:val="00AE7117"/>
    <w:rsid w:val="00AF6247"/>
    <w:rsid w:val="00B019FD"/>
    <w:rsid w:val="00B039FF"/>
    <w:rsid w:val="00B06782"/>
    <w:rsid w:val="00B07F8F"/>
    <w:rsid w:val="00B106FC"/>
    <w:rsid w:val="00B12138"/>
    <w:rsid w:val="00B200FF"/>
    <w:rsid w:val="00B2260B"/>
    <w:rsid w:val="00B30A82"/>
    <w:rsid w:val="00B32241"/>
    <w:rsid w:val="00B342D8"/>
    <w:rsid w:val="00B41D7D"/>
    <w:rsid w:val="00B427B1"/>
    <w:rsid w:val="00B43716"/>
    <w:rsid w:val="00B46730"/>
    <w:rsid w:val="00B50BEE"/>
    <w:rsid w:val="00B5189F"/>
    <w:rsid w:val="00B5367F"/>
    <w:rsid w:val="00B54971"/>
    <w:rsid w:val="00B5511A"/>
    <w:rsid w:val="00B704A3"/>
    <w:rsid w:val="00B73AB4"/>
    <w:rsid w:val="00B80E70"/>
    <w:rsid w:val="00B871A1"/>
    <w:rsid w:val="00B922AC"/>
    <w:rsid w:val="00B96AC9"/>
    <w:rsid w:val="00BA4756"/>
    <w:rsid w:val="00BA6671"/>
    <w:rsid w:val="00BA66CE"/>
    <w:rsid w:val="00BB4449"/>
    <w:rsid w:val="00BB5EA8"/>
    <w:rsid w:val="00BC6383"/>
    <w:rsid w:val="00BD02C3"/>
    <w:rsid w:val="00BD0456"/>
    <w:rsid w:val="00BD0C86"/>
    <w:rsid w:val="00BD465F"/>
    <w:rsid w:val="00BD5856"/>
    <w:rsid w:val="00BD6350"/>
    <w:rsid w:val="00BE22B2"/>
    <w:rsid w:val="00BE2AC2"/>
    <w:rsid w:val="00BE5FA9"/>
    <w:rsid w:val="00BF295F"/>
    <w:rsid w:val="00BF6331"/>
    <w:rsid w:val="00C011C7"/>
    <w:rsid w:val="00C029BA"/>
    <w:rsid w:val="00C046A6"/>
    <w:rsid w:val="00C06AEE"/>
    <w:rsid w:val="00C10DE4"/>
    <w:rsid w:val="00C12B7E"/>
    <w:rsid w:val="00C13092"/>
    <w:rsid w:val="00C1575C"/>
    <w:rsid w:val="00C16362"/>
    <w:rsid w:val="00C17187"/>
    <w:rsid w:val="00C20C89"/>
    <w:rsid w:val="00C24169"/>
    <w:rsid w:val="00C24200"/>
    <w:rsid w:val="00C24272"/>
    <w:rsid w:val="00C3260D"/>
    <w:rsid w:val="00C34078"/>
    <w:rsid w:val="00C3591A"/>
    <w:rsid w:val="00C43123"/>
    <w:rsid w:val="00C53013"/>
    <w:rsid w:val="00C54FC5"/>
    <w:rsid w:val="00C56222"/>
    <w:rsid w:val="00C57282"/>
    <w:rsid w:val="00C57775"/>
    <w:rsid w:val="00C6015A"/>
    <w:rsid w:val="00C61827"/>
    <w:rsid w:val="00C61937"/>
    <w:rsid w:val="00C708D3"/>
    <w:rsid w:val="00C72AA5"/>
    <w:rsid w:val="00C759E7"/>
    <w:rsid w:val="00C80325"/>
    <w:rsid w:val="00C848FF"/>
    <w:rsid w:val="00C84EDB"/>
    <w:rsid w:val="00C85B9E"/>
    <w:rsid w:val="00C87F0F"/>
    <w:rsid w:val="00C90145"/>
    <w:rsid w:val="00C91284"/>
    <w:rsid w:val="00C93213"/>
    <w:rsid w:val="00CA107F"/>
    <w:rsid w:val="00CA6A55"/>
    <w:rsid w:val="00CB4BB5"/>
    <w:rsid w:val="00CC11C3"/>
    <w:rsid w:val="00CC7120"/>
    <w:rsid w:val="00CC766E"/>
    <w:rsid w:val="00CD1D42"/>
    <w:rsid w:val="00CD73D7"/>
    <w:rsid w:val="00CE25F6"/>
    <w:rsid w:val="00CF0587"/>
    <w:rsid w:val="00CF11AD"/>
    <w:rsid w:val="00CF25C0"/>
    <w:rsid w:val="00CF44BB"/>
    <w:rsid w:val="00D03519"/>
    <w:rsid w:val="00D04ABE"/>
    <w:rsid w:val="00D07F35"/>
    <w:rsid w:val="00D12C0A"/>
    <w:rsid w:val="00D14114"/>
    <w:rsid w:val="00D142FA"/>
    <w:rsid w:val="00D14F83"/>
    <w:rsid w:val="00D1619B"/>
    <w:rsid w:val="00D16B17"/>
    <w:rsid w:val="00D20519"/>
    <w:rsid w:val="00D2213B"/>
    <w:rsid w:val="00D32DD6"/>
    <w:rsid w:val="00D34651"/>
    <w:rsid w:val="00D34CA8"/>
    <w:rsid w:val="00D35A56"/>
    <w:rsid w:val="00D37D1B"/>
    <w:rsid w:val="00D402AC"/>
    <w:rsid w:val="00D41FD9"/>
    <w:rsid w:val="00D451A7"/>
    <w:rsid w:val="00D5012F"/>
    <w:rsid w:val="00D53F1A"/>
    <w:rsid w:val="00D61A01"/>
    <w:rsid w:val="00D632AB"/>
    <w:rsid w:val="00D64D72"/>
    <w:rsid w:val="00D72572"/>
    <w:rsid w:val="00D74486"/>
    <w:rsid w:val="00D7765A"/>
    <w:rsid w:val="00D8228B"/>
    <w:rsid w:val="00D83578"/>
    <w:rsid w:val="00D97659"/>
    <w:rsid w:val="00D977CA"/>
    <w:rsid w:val="00DA0BB7"/>
    <w:rsid w:val="00DA3F35"/>
    <w:rsid w:val="00DB03E1"/>
    <w:rsid w:val="00DB0AE3"/>
    <w:rsid w:val="00DB1288"/>
    <w:rsid w:val="00DB25C9"/>
    <w:rsid w:val="00DC4026"/>
    <w:rsid w:val="00DC71E5"/>
    <w:rsid w:val="00DD0D5D"/>
    <w:rsid w:val="00DD13EF"/>
    <w:rsid w:val="00DD19CA"/>
    <w:rsid w:val="00DD2789"/>
    <w:rsid w:val="00DD35CB"/>
    <w:rsid w:val="00DD5EDE"/>
    <w:rsid w:val="00DE080E"/>
    <w:rsid w:val="00DE25ED"/>
    <w:rsid w:val="00DE34A4"/>
    <w:rsid w:val="00DE41CF"/>
    <w:rsid w:val="00DE6679"/>
    <w:rsid w:val="00DF052B"/>
    <w:rsid w:val="00DF3BA0"/>
    <w:rsid w:val="00DF7859"/>
    <w:rsid w:val="00E050FB"/>
    <w:rsid w:val="00E05BDE"/>
    <w:rsid w:val="00E07BD7"/>
    <w:rsid w:val="00E2047B"/>
    <w:rsid w:val="00E225C5"/>
    <w:rsid w:val="00E272B2"/>
    <w:rsid w:val="00E32F82"/>
    <w:rsid w:val="00E36032"/>
    <w:rsid w:val="00E40C6E"/>
    <w:rsid w:val="00E45A2B"/>
    <w:rsid w:val="00E45F66"/>
    <w:rsid w:val="00E462A7"/>
    <w:rsid w:val="00E51E20"/>
    <w:rsid w:val="00E61151"/>
    <w:rsid w:val="00E636D6"/>
    <w:rsid w:val="00E662FF"/>
    <w:rsid w:val="00E664B7"/>
    <w:rsid w:val="00E70C4B"/>
    <w:rsid w:val="00E72321"/>
    <w:rsid w:val="00E73F8A"/>
    <w:rsid w:val="00E749E1"/>
    <w:rsid w:val="00E762D3"/>
    <w:rsid w:val="00E86E4F"/>
    <w:rsid w:val="00E87E75"/>
    <w:rsid w:val="00E9270F"/>
    <w:rsid w:val="00E948C9"/>
    <w:rsid w:val="00EA3B35"/>
    <w:rsid w:val="00EB452D"/>
    <w:rsid w:val="00EB6F37"/>
    <w:rsid w:val="00EB76D5"/>
    <w:rsid w:val="00EB7C85"/>
    <w:rsid w:val="00EC3748"/>
    <w:rsid w:val="00EC508C"/>
    <w:rsid w:val="00EC707E"/>
    <w:rsid w:val="00ED0614"/>
    <w:rsid w:val="00ED0A51"/>
    <w:rsid w:val="00ED44C8"/>
    <w:rsid w:val="00ED6167"/>
    <w:rsid w:val="00ED6FA4"/>
    <w:rsid w:val="00EE2297"/>
    <w:rsid w:val="00EE3988"/>
    <w:rsid w:val="00EE7021"/>
    <w:rsid w:val="00EF23F2"/>
    <w:rsid w:val="00EF31D0"/>
    <w:rsid w:val="00EF64C6"/>
    <w:rsid w:val="00EF7232"/>
    <w:rsid w:val="00F11110"/>
    <w:rsid w:val="00F11A95"/>
    <w:rsid w:val="00F15FBF"/>
    <w:rsid w:val="00F205F6"/>
    <w:rsid w:val="00F23B76"/>
    <w:rsid w:val="00F26CB7"/>
    <w:rsid w:val="00F3053F"/>
    <w:rsid w:val="00F3211C"/>
    <w:rsid w:val="00F3762D"/>
    <w:rsid w:val="00F4417E"/>
    <w:rsid w:val="00F45102"/>
    <w:rsid w:val="00F50078"/>
    <w:rsid w:val="00F50C71"/>
    <w:rsid w:val="00F639CF"/>
    <w:rsid w:val="00F6527D"/>
    <w:rsid w:val="00F66872"/>
    <w:rsid w:val="00F70D10"/>
    <w:rsid w:val="00F71B2D"/>
    <w:rsid w:val="00F737F5"/>
    <w:rsid w:val="00F74148"/>
    <w:rsid w:val="00F7463F"/>
    <w:rsid w:val="00F7497D"/>
    <w:rsid w:val="00F804D9"/>
    <w:rsid w:val="00F829B1"/>
    <w:rsid w:val="00F833A5"/>
    <w:rsid w:val="00F917A5"/>
    <w:rsid w:val="00F943E0"/>
    <w:rsid w:val="00F9519D"/>
    <w:rsid w:val="00F96C38"/>
    <w:rsid w:val="00FA26A4"/>
    <w:rsid w:val="00FA4FC4"/>
    <w:rsid w:val="00FA6927"/>
    <w:rsid w:val="00FA7186"/>
    <w:rsid w:val="00FB1183"/>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401D31"/>
  <w15:chartTrackingRefBased/>
  <w15:docId w15:val="{D6486273-AD17-4E69-823A-8839DFAC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534E56"/>
    <w:rPr>
      <w:color w:val="0563C1"/>
      <w:u w:val="single"/>
    </w:rPr>
  </w:style>
  <w:style w:type="table" w:customStyle="1" w:styleId="TableGrid1">
    <w:name w:val="Table Grid1"/>
    <w:basedOn w:val="TableNormal"/>
    <w:next w:val="TableGrid"/>
    <w:uiPriority w:val="59"/>
    <w:rsid w:val="004F08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3AB4"/>
    <w:rPr>
      <w:rFonts w:ascii="Times New Roman" w:eastAsia="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01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ktroninis.lt/dokument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E7A1-5078-4978-B22B-2A20E4A2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8981</Words>
  <Characters>51197</Characters>
  <Application>Microsoft Office Word</Application>
  <DocSecurity>0</DocSecurity>
  <Lines>426</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60058</CharactersWithSpaces>
  <SharedDoc>false</SharedDoc>
  <HLinks>
    <vt:vector size="12" baseType="variant">
      <vt:variant>
        <vt:i4>1179705</vt:i4>
      </vt:variant>
      <vt:variant>
        <vt:i4>9</vt:i4>
      </vt:variant>
      <vt:variant>
        <vt:i4>0</vt:i4>
      </vt:variant>
      <vt:variant>
        <vt:i4>5</vt:i4>
      </vt:variant>
      <vt:variant>
        <vt:lpwstr>mailto:itt@mil.lt</vt:lpwstr>
      </vt:variant>
      <vt:variant>
        <vt:lpwstr/>
      </vt:variant>
      <vt:variant>
        <vt:i4>458782</vt:i4>
      </vt:variant>
      <vt:variant>
        <vt:i4>6</vt:i4>
      </vt:variant>
      <vt:variant>
        <vt:i4>0</vt:i4>
      </vt:variant>
      <vt:variant>
        <vt:i4>5</vt:i4>
      </vt:variant>
      <vt:variant>
        <vt:lpwstr>http://www.elektroninis.lt/dokumentai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Rūta Kuchalskienė</cp:lastModifiedBy>
  <cp:revision>3</cp:revision>
  <cp:lastPrinted>2012-01-12T10:43:00Z</cp:lastPrinted>
  <dcterms:created xsi:type="dcterms:W3CDTF">2026-04-02T11:48:00Z</dcterms:created>
  <dcterms:modified xsi:type="dcterms:W3CDTF">2026-04-09T06:37:00Z</dcterms:modified>
</cp:coreProperties>
</file>