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sz w:val="24"/>
          <w:szCs w:val="24"/>
        </w:rPr>
        <w:t xml:space="preserve">Mokymai aktualiais visuomenės sveikatos saugos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 xml:space="preserve">MOKYMŲ </w:t>
      </w:r>
      <w:r>
        <w:rPr>
          <w:rFonts w:cs="Times New Roman" w:ascii="Times New Roman" w:hAnsi="Times New Roman"/>
          <w:b/>
          <w:bCs/>
          <w:sz w:val="24"/>
          <w:szCs w:val="24"/>
        </w:rPr>
        <w:t>VISUOMENĖS SVEIKATOS SPECIALISTAMS TEMA „APLINKOS VEIKSNIŲ POVEIKIS VISUOMENĖS SVEIKATAI IR SVEIKATOS SAUGOS UŽTIKRINIMAS“ 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mažos profesinės patirties (dirbančių trumpiau nei 3 metus saugos ar kontrolės srityje) saugos ir kontrolės funkcijas vykdančių specialistų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suteikti žinių apie pagrindinius ūkinių veiklų metu kylančius rizikos veiksnius, jų sklaidą aplinkoje, poveikį visuomenės sveikatai bei šių veiksnių poveikio ir sklaidos vertinimo ir valdymo metodus, taip pat stiprinti sveikatos saugos ir infekcijų kontrolės gebėjimus.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Nacionalinio visuomenės sveikatos centro prie Sveikatos apsaugos ministerijos mažos profesinės patirties (dirbantys trumpiau nei 3 metus saugos ar kontrolės srityje) saugos ir kontrolės funkcijas vykdantys specialistai.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cs="Times New Roman"/>
          <w:color w:themeColor="text1" w:val="000000"/>
          <w:sz w:val="24"/>
          <w:szCs w:val="24"/>
        </w:rPr>
      </w:pPr>
      <w:r>
        <w:rPr>
          <w:rFonts w:eastAsia="" w:eastAsiaTheme="minorEastAsia"/>
          <w:color w:themeColor="text1" w:val="000000"/>
          <w:sz w:val="24"/>
          <w:szCs w:val="24"/>
        </w:rPr>
        <w:t xml:space="preserve">Paslaugų teikėjas turi įgyvendinti Techninėje specifikacijoje numatytus reikalavimus per </w:t>
      </w:r>
      <w:r>
        <w:rPr>
          <w:rFonts w:eastAsia="" w:eastAsiaTheme="minorEastAsia"/>
          <w:b/>
          <w:bCs/>
          <w:color w:themeColor="text1" w:val="000000"/>
          <w:sz w:val="24"/>
          <w:szCs w:val="24"/>
        </w:rPr>
        <w:t>36 (trisdešimt šešis) mėnesius</w:t>
      </w:r>
      <w:r>
        <w:rPr>
          <w:rFonts w:eastAsia="" w:eastAsiaTheme="minorEastAsia"/>
          <w:color w:themeColor="text1" w:val="000000"/>
          <w:sz w:val="24"/>
          <w:szCs w:val="24"/>
        </w:rPr>
        <w:t xml:space="preserve"> nuo sutarties įsigaliojimo dienos.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w:t>
      </w:r>
      <w:r>
        <w:rPr>
          <w:rFonts w:cs="Times New Roman" w:ascii="Times New Roman" w:hAnsi="Times New Roman"/>
          <w:bCs/>
          <w:sz w:val="24"/>
          <w:szCs w:val="24"/>
        </w:rPr>
        <w:t xml:space="preserve">pravesti ne mažiau nei </w:t>
      </w:r>
      <w:r>
        <w:rPr>
          <w:rFonts w:cs="Times New Roman" w:ascii="Times New Roman" w:hAnsi="Times New Roman"/>
          <w:b/>
          <w:bCs/>
          <w:sz w:val="24"/>
          <w:szCs w:val="24"/>
          <w:u w:val="single"/>
        </w:rPr>
        <w:t>3 mokymo grupes</w:t>
      </w:r>
      <w:r>
        <w:rPr>
          <w:rFonts w:cs="Times New Roman" w:ascii="Times New Roman" w:hAnsi="Times New Roman"/>
          <w:bCs/>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sz w:val="24"/>
          <w:szCs w:val="24"/>
        </w:rPr>
        <w:t xml:space="preserve">bei </w:t>
      </w:r>
      <w:r>
        <w:rPr>
          <w:rFonts w:cs="Times New Roman" w:ascii="Times New Roman" w:hAnsi="Times New Roman"/>
          <w:bCs/>
          <w:color w:val="000000"/>
          <w:sz w:val="24"/>
          <w:szCs w:val="24"/>
        </w:rPr>
        <w:t xml:space="preserve">apmokyti ne mažiau kaip </w:t>
      </w:r>
      <w:r>
        <w:rPr>
          <w:rFonts w:cs="Times New Roman" w:ascii="Times New Roman" w:hAnsi="Times New Roman"/>
          <w:b/>
          <w:color w:val="000000"/>
          <w:sz w:val="24"/>
          <w:szCs w:val="24"/>
        </w:rPr>
        <w:t>20</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specialistų </w:t>
      </w:r>
      <w:r>
        <w:rPr>
          <w:rFonts w:cs="Times New Roman" w:ascii="Times New Roman" w:hAnsi="Times New Roman"/>
          <w:b/>
          <w:color w:val="000000"/>
          <w:sz w:val="24"/>
          <w:szCs w:val="24"/>
        </w:rPr>
        <w:t xml:space="preserve">Sostinės regione (Vilniaus apskritis) ir </w:t>
      </w:r>
      <w:r>
        <w:rPr>
          <w:rFonts w:cs="Times New Roman" w:ascii="Times New Roman" w:hAnsi="Times New Roman"/>
          <w:bCs/>
          <w:color w:val="000000"/>
          <w:sz w:val="24"/>
          <w:szCs w:val="24"/>
        </w:rPr>
        <w:t>ne mažiau kaip</w:t>
      </w:r>
      <w:r>
        <w:rPr>
          <w:rFonts w:cs="Times New Roman" w:ascii="Times New Roman" w:hAnsi="Times New Roman"/>
          <w:b/>
          <w:color w:val="000000"/>
          <w:sz w:val="24"/>
          <w:szCs w:val="24"/>
        </w:rPr>
        <w:t xml:space="preserve"> 40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Mokymai turi būti organizuojami etapais: 2 grupės – 2026 m., 1 grupė – 2028 m.</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bCs/>
          <w:sz w:val="24"/>
          <w:szCs w:val="24"/>
        </w:rPr>
        <w:t>16</w:t>
      </w:r>
      <w:r>
        <w:rPr>
          <w:rFonts w:cs="Times New Roman" w:ascii="Times New Roman" w:hAnsi="Times New Roman"/>
          <w:b/>
          <w:sz w:val="24"/>
          <w:szCs w:val="24"/>
        </w:rPr>
        <w:t xml:space="preserve"> akad. val.</w:t>
      </w:r>
      <w:r>
        <w:rPr>
          <w:rFonts w:cs="Times New Roman" w:ascii="Times New Roman" w:hAnsi="Times New Roman"/>
          <w:sz w:val="24"/>
          <w:szCs w:val="24"/>
        </w:rPr>
        <w:t xml:space="preserve"> (dvi dienos).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color w:val="000000"/>
          <w:sz w:val="24"/>
          <w:szCs w:val="24"/>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regionas (visos apskritys, išskyrus Vilniaus apskritį)</w:t>
      </w:r>
      <w:r>
        <w:rPr>
          <w:rFonts w:cs="Times New Roman" w:ascii="Times New Roman" w:hAnsi="Times New Roman"/>
          <w:b/>
          <w:color w:val="000000"/>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6"/>
        </w:numPr>
        <w:tabs>
          <w:tab w:val="clear" w:pos="1296"/>
          <w:tab w:val="left" w:pos="567"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Ūkinės veiklos, kuriose kyla veiksniai darantys įtaką visuomenės sveikatai;</w:t>
      </w:r>
    </w:p>
    <w:p>
      <w:pPr>
        <w:pStyle w:val="Normal"/>
        <w:numPr>
          <w:ilvl w:val="1"/>
          <w:numId w:val="6"/>
        </w:numPr>
        <w:tabs>
          <w:tab w:val="clear" w:pos="1296"/>
          <w:tab w:val="left" w:pos="567"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Cheminių veiksnių sklaida aplinkoje, poveikis sveikatai;</w:t>
      </w:r>
    </w:p>
    <w:p>
      <w:pPr>
        <w:pStyle w:val="Normal"/>
        <w:numPr>
          <w:ilvl w:val="1"/>
          <w:numId w:val="6"/>
        </w:numPr>
        <w:tabs>
          <w:tab w:val="clear" w:pos="1296"/>
          <w:tab w:val="left" w:pos="567"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Fizikinių veiksnių sklaida aplinkoje, poveikis sveikatai;</w:t>
      </w:r>
    </w:p>
    <w:p>
      <w:pPr>
        <w:pStyle w:val="Normal"/>
        <w:numPr>
          <w:ilvl w:val="1"/>
          <w:numId w:val="6"/>
        </w:numPr>
        <w:tabs>
          <w:tab w:val="clear" w:pos="1296"/>
          <w:tab w:val="left" w:pos="567"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Cheminių ir fizikinių veiksnių poveikio ir sklaidos vertinimo metodai;</w:t>
      </w:r>
    </w:p>
    <w:p>
      <w:pPr>
        <w:pStyle w:val="Normal"/>
        <w:numPr>
          <w:ilvl w:val="1"/>
          <w:numId w:val="6"/>
        </w:numPr>
        <w:tabs>
          <w:tab w:val="clear" w:pos="1296"/>
          <w:tab w:val="left" w:pos="567"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Biologinių grėsmių valdymas;</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Visuomenės sveikatos saugos ir infekcijų kontrolės principai, metodai ir priemonės.</w:t>
      </w:r>
    </w:p>
    <w:p>
      <w:pPr>
        <w:pStyle w:val="ListParagraph"/>
        <w:numPr>
          <w:ilvl w:val="0"/>
          <w:numId w:val="6"/>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Mokymai turi būti organizuojami taikant praktinio ugdymo metodiką (30 proc. teorijos ir 70 proc. praktikos).</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color w:themeColor="text1" w:val="000000"/>
          <w:sz w:val="24"/>
          <w:szCs w:val="24"/>
        </w:rPr>
        <w:t xml:space="preserve">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w:t>
      </w:r>
      <w:r>
        <w:rPr>
          <w:rFonts w:cs="Times New Roman" w:ascii="Times New Roman" w:hAnsi="Times New Roman"/>
          <w:sz w:val="24"/>
          <w:szCs w:val="24"/>
        </w:rPr>
        <w:t>nuostatų patvirtinimo“  (toliau – Taisyklės) nustatyta tvarka.</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programos parengimą ir </w:t>
      </w:r>
      <w:r>
        <w:rPr>
          <w:rFonts w:cs="Times New Roman" w:ascii="Times New Roman" w:hAnsi="Times New Roman"/>
          <w:bCs/>
          <w:sz w:val="24"/>
          <w:szCs w:val="24"/>
        </w:rPr>
        <w:t xml:space="preserve">vertinimo rekomendacijų pateikimą teisės </w:t>
      </w:r>
      <w:r>
        <w:rPr>
          <w:rFonts w:cs="Times New Roman" w:ascii="Times New Roman" w:hAnsi="Times New Roman"/>
          <w:bCs/>
          <w:color w:val="000000"/>
          <w:sz w:val="24"/>
          <w:szCs w:val="24"/>
        </w:rPr>
        <w:t>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Perkančiosios organizacijos pateikto pranešimo apie asmens duomenų tvarkymą įteikimą </w:t>
      </w:r>
      <w:r>
        <w:rPr>
          <w:rFonts w:cs="Times New Roman" w:ascii="Times New Roman" w:hAnsi="Times New Roman"/>
          <w:bCs/>
          <w:sz w:val="24"/>
          <w:szCs w:val="24"/>
        </w:rPr>
        <w:t xml:space="preserve">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10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uppressAutoHyphens w:val="true"/>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registracijos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laisvos formos darbdavio pažymas, patvirtinančias, kad, jog asmuo dirba 7 punkte nurodytoje įstaigoje;</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kokybės vertinimo rezultatus;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uppressAutoHyphens w:val="true"/>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31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31–38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5</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21"/>
      <w:numFmt w:val="decimal"/>
      <w:lvlText w:val="%1."/>
      <w:lvlJc w:val="left"/>
      <w:pPr>
        <w:tabs>
          <w:tab w:val="num" w:pos="0"/>
        </w:tabs>
        <w:ind w:left="480" w:hanging="480"/>
      </w:pPr>
      <w:rPr>
        <w:b w:val="false"/>
        <w:bCs/>
        <w:color w:val="000000"/>
      </w:rPr>
    </w:lvl>
    <w:lvl w:ilvl="1">
      <w:start w:val="1"/>
      <w:numFmt w:val="decimal"/>
      <w:lvlText w:val="%1.%2."/>
      <w:lvlJc w:val="left"/>
      <w:pPr>
        <w:tabs>
          <w:tab w:val="num" w:pos="0"/>
        </w:tabs>
        <w:ind w:left="480" w:hanging="48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A097B-E96D-4F09-B3EE-976116DA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6</Pages>
  <Words>2153</Words>
  <Characters>15271</Characters>
  <CharactersWithSpaces>17289</CharactersWithSpaces>
  <Paragraphs>105</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2025-09-23T05:22:00Z</dcterms:created>
  <dc:creator>Jurgita Nainienė</dc:creator>
  <dc:description/>
  <dc:language>en-US</dc:language>
  <cp:lastModifiedBy>Karolina Rastenytė</cp:lastModifiedBy>
  <dcterms:modified xsi:type="dcterms:W3CDTF">2026-04-07T14:06:00Z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