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6"/>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sz w:val="24"/>
          <w:szCs w:val="24"/>
        </w:rPr>
        <w:t xml:space="preserve">Mokymai aktualiais visuomenės sveikatos saugos klausimais. </w:t>
      </w:r>
      <w:bookmarkEnd w:id="6"/>
      <w:bookmarkEnd w:id="7"/>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bookmarkEnd w:id="10"/>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V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w:t>
      </w:r>
      <w:r>
        <w:rPr>
          <w:rFonts w:cs="Times New Roman" w:ascii="Times New Roman" w:hAnsi="Times New Roman"/>
          <w:b/>
          <w:bCs/>
          <w:sz w:val="24"/>
          <w:szCs w:val="24"/>
        </w:rPr>
        <w:t>VISUOMENĖS SVEIKATOS SPECIALISTAMS TEMA „ŠIUOLAIKINĖS ŪKINĖS VEIKLOS POVEIKIS APLINKAI IR SVEIKATAI: NAUJAUSI VEIKSNIŲ SKLAIDOS VERTINIMO METODAI IR PAŽANGIOS NEIGIAMO POVEIKIO MAŽINIMO PRIEMONĖS“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w:t>
      </w:r>
      <w:r>
        <w:rPr>
          <w:rFonts w:cs="Times New Roman" w:ascii="Times New Roman" w:hAnsi="Times New Roman"/>
          <w:sz w:val="24"/>
          <w:szCs w:val="24"/>
        </w:rPr>
        <w:t xml:space="preserve">08107, Vilnius, tel. + 370 5 262 4583, el. p. institutas@hi.lt, įmonės kodas 111958286. </w:t>
      </w:r>
    </w:p>
    <w:p>
      <w:pPr>
        <w:pStyle w:val="Normal"/>
        <w:numPr>
          <w:ilvl w:val="0"/>
          <w:numId w:val="6"/>
        </w:numPr>
        <w:tabs>
          <w:tab w:val="clear" w:pos="1296"/>
          <w:tab w:val="left" w:pos="284"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w:t>
      </w:r>
      <w:bookmarkStart w:id="11" w:name="_Hlk189747483"/>
      <w:r>
        <w:rPr>
          <w:rFonts w:cs="Times New Roman" w:ascii="Times New Roman" w:hAnsi="Times New Roman"/>
          <w:sz w:val="24"/>
          <w:szCs w:val="24"/>
        </w:rPr>
        <w:t xml:space="preserve"> mažos profesinės patirties (dirbančių ilgiau nei 3 metus saugos ar kontrolės srityje) saugos ir kontrolės funkcijas vykdančių specialistų</w:t>
      </w:r>
      <w:bookmarkEnd w:id="11"/>
      <w:r>
        <w:rPr>
          <w:rFonts w:cs="Times New Roman" w:ascii="Times New Roman" w:hAnsi="Times New Roman"/>
          <w:sz w:val="24"/>
          <w:szCs w:val="24"/>
        </w:rPr>
        <w:t xml:space="preserve"> mokymų organizavimo ir vykdymo paslaugos (toliau – Mokymai).</w:t>
      </w:r>
    </w:p>
    <w:p>
      <w:pPr>
        <w:pStyle w:val="Normal"/>
        <w:numPr>
          <w:ilvl w:val="0"/>
          <w:numId w:val="6"/>
        </w:numPr>
        <w:tabs>
          <w:tab w:val="clear" w:pos="1296"/>
          <w:tab w:val="left" w:pos="284"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Suteikti specialistams žinių apie ūkinių veiklų naujas technologijas, jų poveikį aplinkai ir sveikatai, naujausius mokslu pagrįstus įrodymus apie </w:t>
      </w:r>
      <w:r>
        <w:rPr>
          <w:rFonts w:cs="Times New Roman" w:ascii="Times New Roman" w:hAnsi="Times New Roman"/>
          <w:bCs/>
          <w:sz w:val="24"/>
          <w:szCs w:val="24"/>
        </w:rPr>
        <w:t xml:space="preserve">cheminių, fizikinių bei biologinių </w:t>
      </w:r>
      <w:r>
        <w:rPr>
          <w:rFonts w:cs="Times New Roman" w:ascii="Times New Roman" w:hAnsi="Times New Roman"/>
          <w:sz w:val="24"/>
          <w:szCs w:val="24"/>
          <w:lang w:eastAsia="en-US"/>
        </w:rPr>
        <w:t>veiksnių sklaidą ir poveikį visuomenės sveikatai, veiksnių sklaidos vertinimo metodus ir priemones bei pažangias veiksnių neigiamo poveikio mažinimo priemones</w:t>
      </w:r>
      <w:r>
        <w:rPr>
          <w:rFonts w:cs="Times New Roman" w:ascii="Times New Roman" w:hAnsi="Times New Roman"/>
          <w:sz w:val="24"/>
          <w:szCs w:val="24"/>
        </w:rPr>
        <w:t xml:space="preserve">. </w:t>
      </w:r>
    </w:p>
    <w:p>
      <w:pPr>
        <w:pStyle w:val="Normal"/>
        <w:numPr>
          <w:ilvl w:val="0"/>
          <w:numId w:val="6"/>
        </w:numPr>
        <w:tabs>
          <w:tab w:val="clear" w:pos="1296"/>
          <w:tab w:val="left" w:pos="284" w:leader="none"/>
        </w:tabs>
        <w:spacing w:lineRule="auto" w:line="240" w:before="0" w:after="0"/>
        <w:ind w:hanging="0" w:left="0"/>
        <w:contextualSpacing/>
        <w:jc w:val="both"/>
        <w:rPr>
          <w:rFonts w:ascii="Times New Roman" w:hAnsi="Times New Roman" w:eastAsia="Calibri" w:cs="Times New Roman" w:eastAsiaTheme="minorHAnsi"/>
          <w:sz w:val="24"/>
          <w:szCs w:val="24"/>
        </w:rPr>
      </w:pPr>
      <w:r>
        <w:rPr>
          <w:rFonts w:cs="Times New Roman" w:ascii="Times New Roman" w:hAnsi="Times New Roman"/>
          <w:sz w:val="24"/>
          <w:szCs w:val="24"/>
        </w:rPr>
        <w:t>Mokymų tikslinė grupė (toliau – tikslinė grupė): Nacionalinio visuomenės sveikatos centro prie Sveikatos apsaugos ministerijos mažos profesinės patirties (dirbantys ilgiau nei 3 metus saugos ar kontrolės srityje) saugos ir kontrolės funkcijas vykdantys specialistai.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36</w:t>
      </w:r>
      <w:r>
        <w:rPr>
          <w:rFonts w:cs="TimesNewRomanPSMT" w:ascii="TimesNewRomanPSMT" w:hAnsi="TimesNewRomanPSMT"/>
          <w:sz w:val="24"/>
          <w:szCs w:val="24"/>
        </w:rPr>
        <w:t xml:space="preserve"> </w:t>
      </w:r>
      <w:r>
        <w:rPr>
          <w:rFonts w:cs="TimesNewRomanPSMT" w:ascii="TimesNewRomanPSMT" w:hAnsi="TimesNewRomanPSMT"/>
          <w:b/>
          <w:bCs/>
          <w:sz w:val="24"/>
          <w:szCs w:val="24"/>
        </w:rPr>
        <w:t>(trisdešimt šešis)</w:t>
      </w:r>
      <w:r>
        <w:rPr>
          <w:rFonts w:cs="TimesNewRomanPSMT" w:ascii="TimesNewRomanPSMT" w:hAnsi="TimesNewRomanPSMT"/>
          <w:sz w:val="24"/>
          <w:szCs w:val="24"/>
        </w:rPr>
        <w:t xml:space="preserve"> mėnesius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turi pravesti ne 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60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 xml:space="preserve">Sostinės regione (Vilniaus apskritis) ir 140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specialistų</w:t>
      </w:r>
      <w:r>
        <w:rPr>
          <w:rFonts w:cs="Times New Roman" w:ascii="Times New Roman" w:hAnsi="Times New Roman"/>
          <w:b/>
          <w:sz w:val="24"/>
          <w:szCs w:val="24"/>
        </w:rPr>
        <w:t xml:space="preserve"> Vidurio ir vakarų Lietuvos regione (visos apskritys, išskyrus Vilniaus apskritį)</w:t>
      </w:r>
      <w:r>
        <w:rPr>
          <w:rFonts w:eastAsia="" w:cs="Times New Roman" w:ascii="Times New Roman" w:hAnsi="Times New Roman" w:eastAsiaTheme="minorEastAsia"/>
          <w:b/>
          <w:sz w:val="24"/>
          <w:szCs w:val="24"/>
          <w:lang w:eastAsia="lt-LT"/>
        </w:rPr>
        <w:t>.</w:t>
      </w:r>
      <w:r>
        <w:rPr>
          <w:rFonts w:cs="Times New Roman" w:ascii="Times New Roman" w:hAnsi="Times New Roman"/>
          <w:b/>
          <w:sz w:val="24"/>
          <w:szCs w:val="24"/>
        </w:rPr>
        <w:t xml:space="preserve"> </w:t>
      </w:r>
    </w:p>
    <w:p>
      <w:pPr>
        <w:pStyle w:val="ListParagraph"/>
        <w:widowControl w:val="false"/>
        <w:numPr>
          <w:ilvl w:val="0"/>
          <w:numId w:val="6"/>
        </w:numPr>
        <w:shd w:val="clear" w:color="auto" w:fill="FFFFFF"/>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bCs/>
          <w:sz w:val="24"/>
          <w:szCs w:val="24"/>
        </w:rPr>
      </w:pPr>
      <w:r>
        <w:rPr>
          <w:rFonts w:eastAsia="" w:cs="Times New Roman" w:ascii="Times New Roman" w:hAnsi="Times New Roman" w:eastAsiaTheme="minorEastAsia"/>
          <w:bCs/>
          <w:sz w:val="24"/>
          <w:szCs w:val="24"/>
          <w:lang w:eastAsia="lt-LT"/>
        </w:rPr>
        <w:t>Vieną mokymosi grupę sudaro ne daugiau kaip 25 tikslinės grupės</w:t>
      </w:r>
      <w:r>
        <w:rPr>
          <w:rFonts w:cs="Times New Roman" w:ascii="Times New Roman" w:hAnsi="Times New Roman"/>
          <w:bCs/>
          <w:sz w:val="24"/>
          <w:szCs w:val="24"/>
        </w:rPr>
        <w:t xml:space="preserve"> specialistai.</w:t>
      </w:r>
    </w:p>
    <w:p>
      <w:pPr>
        <w:pStyle w:val="Normal"/>
        <w:numPr>
          <w:ilvl w:val="0"/>
          <w:numId w:val="6"/>
        </w:numPr>
        <w:tabs>
          <w:tab w:val="clear" w:pos="1296"/>
          <w:tab w:val="left" w:pos="284" w:leader="none"/>
          <w:tab w:val="left" w:pos="426" w:leader="none"/>
        </w:tabs>
        <w:spacing w:lineRule="auto" w:line="240" w:before="0" w:after="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284" w:leader="none"/>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Mokymai turi būti organizuojami etapais: 5 grupės – 2026 m., 3 grupės – 2027 m., 2 grupės – 2028 m. Grupių paskirstymas pagal metus gali būti keičiamas, nekeičiant bendro grupių skaičiaus.</w:t>
      </w:r>
    </w:p>
    <w:p>
      <w:pPr>
        <w:pStyle w:val="Normal"/>
        <w:numPr>
          <w:ilvl w:val="0"/>
          <w:numId w:val="6"/>
        </w:numPr>
        <w:tabs>
          <w:tab w:val="clear" w:pos="1296"/>
          <w:tab w:val="left" w:pos="284" w:leader="none"/>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Vienų mokymų trukmė – </w:t>
      </w:r>
      <w:r>
        <w:rPr>
          <w:rFonts w:cs="Times New Roman" w:ascii="Times New Roman" w:hAnsi="Times New Roman"/>
          <w:b/>
          <w:bCs/>
          <w:sz w:val="24"/>
          <w:szCs w:val="24"/>
        </w:rPr>
        <w:t>16</w:t>
      </w:r>
      <w:r>
        <w:rPr>
          <w:rFonts w:cs="Times New Roman" w:ascii="Times New Roman" w:hAnsi="Times New Roman"/>
          <w:b/>
          <w:sz w:val="24"/>
          <w:szCs w:val="24"/>
        </w:rPr>
        <w:t xml:space="preserve">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Ūkinės veiklos naujos technologijos ir jų poveikis aplinkai bei sveikatai;</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Naujausi mokslu pagrįsti įrodymai apie cheminių, fizikinių veiksnių sklaidą ir poveikį visuomenės sveikatai;</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Naujausi cheminių, fizikinių veiksnių sklaidos vertinimo metodai ir priemonės;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Pažangios cheminių, fizikinių veiksnių neigiamo poveikio aplinkai bei sveikatai mažinimo priemonės.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Naujausi biologinių grėsmių valdymo metodai.</w:t>
      </w:r>
    </w:p>
    <w:p>
      <w:pPr>
        <w:pStyle w:val="ListParagraph"/>
        <w:numPr>
          <w:ilvl w:val="0"/>
          <w:numId w:val="6"/>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Mokymai turi būti organizuojami taikant praktinio ugdymo metodiką (30 proc. teorijos ir 70 proc. praktikos).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Mokymo programa turi būti parengta ir suderinta su Lietuvos Respublikos sveikatos apsaugos ministerija Sveikatos specialistų </w:t>
      </w:r>
      <w:r>
        <w:rPr>
          <w:rFonts w:cs="Times New Roman" w:ascii="Times New Roman" w:hAnsi="Times New Roman"/>
          <w:color w:themeColor="text1" w:val="000000"/>
          <w:sz w:val="24"/>
          <w:szCs w:val="24"/>
        </w:rPr>
        <w:t xml:space="preserve">tobulinimo programų derinimo taisyklių, patvirtintų Lietuvos Respublikos sveikatos apsaugos ministro 2011 m. birželio 28 d. įsakymu Nr. V-645 „Dėl Sveikatos specialistų tobulinimo programų derinimo taisyklių ir Tobulinimo programų vertinimo komisijos </w:t>
      </w:r>
      <w:r>
        <w:rPr>
          <w:rFonts w:cs="Times New Roman" w:ascii="Times New Roman" w:hAnsi="Times New Roman"/>
          <w:sz w:val="24"/>
          <w:szCs w:val="24"/>
        </w:rPr>
        <w:t>nuostatų patvirtinimo“  (toliau – Taisyklės) nustatyta tvarka.</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ListParagraph"/>
        <w:numPr>
          <w:ilvl w:val="0"/>
          <w:numId w:val="6"/>
        </w:numPr>
        <w:tabs>
          <w:tab w:val="clear" w:pos="1296"/>
          <w:tab w:val="left" w:pos="426" w:leader="none"/>
          <w:tab w:val="left" w:pos="709" w:leader="none"/>
        </w:tabs>
        <w:spacing w:lineRule="auto" w:line="240"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w:t>
      </w:r>
      <w:r>
        <w:rPr>
          <w:rFonts w:cs="Times New Roman" w:ascii="Times New Roman" w:hAnsi="Times New Roman"/>
          <w:bCs/>
          <w:sz w:val="24"/>
          <w:szCs w:val="24"/>
        </w:rPr>
        <w:t xml:space="preserve">mokymų dalyviams,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6"/>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6"/>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6"/>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6"/>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6"/>
        </w:numPr>
        <w:tabs>
          <w:tab w:val="clear" w:pos="1296"/>
          <w:tab w:val="left" w:pos="426"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6"/>
        </w:numPr>
        <w:tabs>
          <w:tab w:val="clear" w:pos="1296"/>
          <w:tab w:val="left" w:pos="426" w:leader="none"/>
        </w:tabs>
        <w:suppressAutoHyphens w:val="true"/>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31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31–38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6"/>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kaip savarankiškas duomenų valdytojas ir savarankiškai atsako už Reglamento (ES) 2016/679, kitų asmens duomenų tvarkymą ir jų apsaugą reglamentuojančių teisės aktų reikalavimų įgyvendinimą. </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8F5A097B-E96D-4F09-B3EE-976116DAD47C}">
  <ds:schemaRefs>
    <ds:schemaRef ds:uri="http://schemas.openxmlformats.org/officeDocument/2006/bibliography"/>
  </ds:schemaRefs>
</ds:datastoreItem>
</file>

<file path=customXml/itemProps3.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Application>LibreOffice/7.6.4.1$Windows_X86_64 LibreOffice_project/e19e193f88cd6c0525a17fb7a176ed8e6a3e2aa1</Application>
  <AppVersion>15.0000</AppVersion>
  <Pages>6</Pages>
  <Words>2184</Words>
  <Characters>15503</Characters>
  <CharactersWithSpaces>17558</CharactersWithSpaces>
  <Paragraphs>104</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2025-09-23T05:22:00Z</dcterms:created>
  <dc:creator>Jurgita Nainienė</dc:creator>
  <dc:description/>
  <dc:language>en-US</dc:language>
  <cp:lastModifiedBy>Karolina Rastenytė</cp:lastModifiedBy>
  <dcterms:modified xsi:type="dcterms:W3CDTF">2026-04-09T05:47:00Z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