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color w:themeColor="text1" w:val="000000"/>
          <w:sz w:val="24"/>
          <w:szCs w:val="24"/>
        </w:rPr>
        <w:t xml:space="preserve">Mokymai visuomenės sveikatos vadybos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VI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themeColor="text1" w:val="000000"/>
          <w:sz w:val="24"/>
          <w:szCs w:val="24"/>
        </w:rPr>
        <w:t xml:space="preserve">MOKYMŲ VISUOMENĖS SVEIKATOS SPECIALISTAMS </w:t>
      </w:r>
      <w:r>
        <w:rPr>
          <w:rFonts w:cs="Times New Roman" w:ascii="Times New Roman" w:hAnsi="Times New Roman"/>
          <w:b/>
          <w:bCs/>
          <w:sz w:val="24"/>
          <w:szCs w:val="24"/>
        </w:rPr>
        <w:t>TEMA „KOMANDINIS DARBAS: NUO SUBŪRIMO IKI EFEKTYVAUS VEIKIMO“ 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dalyviams žinių ir praktinių įgūdžių apie komandos formavimo principus, vystymosi etapus, narių vaidmenis bei darbo organizavimą, siekiant efektyvios, bendradarbiavimu grįstos komandinės veiklos.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Sveikatos apsaugos ministerijos, Nacionalinio visuomenės sveikatos centro, Higienos instituto, Radiacinės saugos centro, Nacionalinės visuomenės sveikatos priežiūros laboratorijos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15</w:t>
      </w:r>
      <w:r>
        <w:rPr>
          <w:rFonts w:cs="TimesNewRomanPSMT" w:ascii="TimesNewRomanPSMT" w:hAnsi="TimesNewRomanPSMT"/>
          <w:sz w:val="24"/>
          <w:szCs w:val="24"/>
        </w:rPr>
        <w:t xml:space="preserve"> </w:t>
      </w:r>
      <w:r>
        <w:rPr>
          <w:rFonts w:cs="TimesNewRomanPSMT" w:ascii="TimesNewRomanPSMT" w:hAnsi="TimesNewRomanPSMT"/>
          <w:b/>
          <w:bCs/>
          <w:sz w:val="24"/>
          <w:szCs w:val="24"/>
        </w:rPr>
        <w:t>(penkiolika)</w:t>
      </w:r>
      <w:r>
        <w:rPr>
          <w:rFonts w:cs="TimesNewRomanPSMT" w:ascii="TimesNewRomanPSMT" w:hAnsi="TimesNewRomanPSMT"/>
          <w:sz w:val="24"/>
          <w:szCs w:val="24"/>
        </w:rPr>
        <w:t xml:space="preserve"> mėnesių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w:t>
      </w:r>
      <w:r>
        <w:rPr>
          <w:rFonts w:cs="Times New Roman" w:ascii="Times New Roman" w:hAnsi="Times New Roman"/>
          <w:bCs/>
          <w:sz w:val="24"/>
          <w:szCs w:val="24"/>
        </w:rPr>
        <w:t xml:space="preserve">mažiau nei </w:t>
      </w:r>
      <w:r>
        <w:rPr>
          <w:rFonts w:cs="Times New Roman" w:ascii="Times New Roman" w:hAnsi="Times New Roman"/>
          <w:b/>
          <w:bCs/>
          <w:sz w:val="24"/>
          <w:szCs w:val="24"/>
          <w:u w:val="single"/>
        </w:rPr>
        <w:t>10 mokymo grupių</w:t>
      </w:r>
      <w:r>
        <w:rPr>
          <w:rFonts w:cs="Times New Roman" w:ascii="Times New Roman" w:hAnsi="Times New Roman"/>
          <w:bCs/>
          <w:sz w:val="24"/>
          <w:szCs w:val="24"/>
        </w:rPr>
        <w:t xml:space="preserve"> gyvai</w:t>
      </w:r>
      <w:r>
        <w:rPr>
          <w:rFonts w:cs="Times New Roman" w:ascii="Times New Roman" w:hAnsi="Times New Roman"/>
          <w:sz w:val="24"/>
          <w:szCs w:val="24"/>
        </w:rPr>
        <w:t xml:space="preserve"> </w:t>
      </w:r>
      <w:r>
        <w:rPr>
          <w:rFonts w:cs="Times New Roman" w:ascii="Times New Roman" w:hAnsi="Times New Roman"/>
          <w:bCs/>
          <w:sz w:val="24"/>
          <w:szCs w:val="24"/>
        </w:rPr>
        <w:t xml:space="preserve">bei apmokyti ne mažiau kaip </w:t>
      </w:r>
      <w:r>
        <w:rPr>
          <w:rFonts w:cs="Times New Roman" w:ascii="Times New Roman" w:hAnsi="Times New Roman"/>
          <w:b/>
          <w:sz w:val="24"/>
          <w:szCs w:val="24"/>
        </w:rPr>
        <w:t>2 grupes</w:t>
      </w:r>
      <w:r>
        <w:rPr>
          <w:rFonts w:cs="Times New Roman" w:ascii="Times New Roman" w:hAnsi="Times New Roman"/>
          <w:bCs/>
          <w:sz w:val="24"/>
          <w:szCs w:val="24"/>
        </w:rPr>
        <w:t xml:space="preserve"> (40</w:t>
      </w:r>
      <w:r>
        <w:rPr>
          <w:rFonts w:cs="Times New Roman" w:ascii="Times New Roman" w:hAnsi="Times New Roman"/>
          <w:b/>
          <w:bCs/>
          <w:sz w:val="24"/>
          <w:szCs w:val="24"/>
        </w:rPr>
        <w:t xml:space="preserve"> </w:t>
      </w:r>
      <w:r>
        <w:rPr>
          <w:rFonts w:cs="Times New Roman" w:ascii="Times New Roman" w:hAnsi="Times New Roman"/>
          <w:bCs/>
          <w:sz w:val="24"/>
          <w:szCs w:val="24"/>
        </w:rPr>
        <w:t>tikslinės grupės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specialistų) </w:t>
      </w:r>
      <w:r>
        <w:rPr>
          <w:rFonts w:cs="Times New Roman" w:ascii="Times New Roman" w:hAnsi="Times New Roman"/>
          <w:b/>
          <w:sz w:val="24"/>
          <w:szCs w:val="24"/>
        </w:rPr>
        <w:t>Sostinės regione (Vilniaus apskritis</w:t>
      </w:r>
      <w:r>
        <w:rPr>
          <w:rFonts w:cs="Times New Roman" w:ascii="Times New Roman" w:hAnsi="Times New Roman"/>
          <w:b/>
          <w:color w:val="000000"/>
          <w:sz w:val="24"/>
          <w:szCs w:val="24"/>
        </w:rPr>
        <w:t xml:space="preserve">) ir ne mažiau kaip 8 grupes </w:t>
      </w:r>
      <w:r>
        <w:rPr>
          <w:rFonts w:cs="Times New Roman" w:ascii="Times New Roman" w:hAnsi="Times New Roman"/>
          <w:bCs/>
          <w:sz w:val="24"/>
          <w:szCs w:val="24"/>
        </w:rPr>
        <w:t>(160</w:t>
      </w:r>
      <w:r>
        <w:rPr>
          <w:rFonts w:cs="Times New Roman" w:ascii="Times New Roman" w:hAnsi="Times New Roman"/>
          <w:b/>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1"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20 d. d. nuo</w:t>
      </w:r>
      <w:r>
        <w:rPr>
          <w:rFonts w:cs="Times New Roman" w:ascii="Times New Roman" w:hAnsi="Times New Roman"/>
          <w:bCs/>
          <w:color w:val="000000"/>
          <w:sz w:val="24"/>
          <w:szCs w:val="24"/>
        </w:rPr>
        <w:t xml:space="preserve"> programos patvirtinimo dienos. Ne mažiau kaip pusė mokymų grupių turi būti įvykdytos ne ilgiau kaip per 5 (penkis) mėnesius nuo programos patvirtinimo dienos. Visi mokymai turi būti užbaigti ne vėliau kaip per 10 (dešimt) mėnesių nuo programos patvirtinimo dienos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color w:val="000000"/>
          <w:sz w:val="24"/>
          <w:szCs w:val="24"/>
        </w:rPr>
        <w:t>Sostinės regionas (Vilniaus apskritis)</w:t>
      </w:r>
      <w:r>
        <w:rPr>
          <w:rFonts w:cs="Times New Roman" w:ascii="Times New Roman" w:hAnsi="Times New Roman"/>
          <w:b/>
          <w:color w:val="000000"/>
          <w:sz w:val="24"/>
          <w:szCs w:val="24"/>
        </w:rPr>
        <w:t xml:space="preserve"> ir</w:t>
      </w:r>
      <w:r>
        <w:rPr>
          <w:rFonts w:cs="Times New Roman" w:ascii="Times New Roman" w:hAnsi="Times New Roman"/>
          <w:b/>
          <w:bCs/>
          <w:color w:val="000000"/>
          <w:sz w:val="24"/>
          <w:szCs w:val="24"/>
        </w:rPr>
        <w:t xml:space="preserve"> Vidurio ir vakarų Lietuvos </w:t>
      </w:r>
      <w:r>
        <w:rPr>
          <w:rFonts w:cs="Times New Roman" w:ascii="Times New Roman" w:hAnsi="Times New Roman"/>
          <w:b/>
          <w:bCs/>
          <w:sz w:val="24"/>
          <w:szCs w:val="24"/>
        </w:rPr>
        <w:t>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sz w:val="24"/>
          <w:szCs w:val="24"/>
        </w:rPr>
      </w:pPr>
      <w:r>
        <w:rPr>
          <w:rFonts w:ascii="Times New Roman" w:hAnsi="Times New Roman"/>
          <w:sz w:val="24"/>
          <w:szCs w:val="24"/>
        </w:rPr>
        <w:t>Komandos subūrimas. Skirtumas tarp grupės ir komandos. Komandos kūrimo tikslas ir reikšmė organizacijoje.</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Komandos formavimas, vystymosi etapai. Tipinės kliūtys: konfliktai, neaiškūs tikslai, pasipriešinimas.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Komandos efektyvaus darbo principai ir sąlygos. Veiksmingos komandos bruožai.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Komandos narių vaidmenys ir atsakomybės. Vaidmenų pusiausvyros svarba komandai.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Funkcijų ir darbų pasiskirstymas komandoje. Aiškus atsakomybių ir užduočių paskyrimas. Delegavimo principai ir pasitikėjimo svarba. Nesusikalbėjimo ar atsakomybės vengimo situacijų sprendimas. Komandos darbo stebėsena ir grįžtamojo ryšio kultūra.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privalo apimti praktinius užsiėmimus, kurių metu dalyviai galėtų išbandyti aktyviai taikyti įgytas žinias bei gauti grįžtamąjį ryšį iš lektoriaus ir (ar) grupės.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color w:themeColor="text1" w:val="000000"/>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28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30–37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4.xml><?xml version="1.0" encoding="utf-8"?>
<ds:datastoreItem xmlns:ds="http://schemas.openxmlformats.org/officeDocument/2006/customXml" ds:itemID="{99019349-034D-443E-B749-714FE9DF9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Application>LibreOffice/7.6.4.1$Windows_X86_64 LibreOffice_project/e19e193f88cd6c0525a17fb7a176ed8e6a3e2aa1</Application>
  <AppVersion>15.0000</AppVersion>
  <Pages>6</Pages>
  <Words>2190</Words>
  <Characters>15567</Characters>
  <CharactersWithSpaces>17628</CharactersWithSpaces>
  <Paragraphs>104</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Karolina Rastenytė</cp:lastModifiedBy>
  <dcterms:modified xsi:type="dcterms:W3CDTF">2026-04-07T14:04:00Z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