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color w:themeColor="text1" w:val="000000"/>
          <w:sz w:val="24"/>
          <w:szCs w:val="24"/>
        </w:rPr>
        <w:t xml:space="preserve">Mokymai aktualiais visuomenės sveikatos stiprinimo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VII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color w:themeColor="text1" w:val="000000"/>
          <w:sz w:val="24"/>
          <w:szCs w:val="24"/>
        </w:rPr>
        <w:t xml:space="preserve">MOKYMŲ VISUOMENĖS SVEIKATOS </w:t>
      </w:r>
      <w:r>
        <w:rPr>
          <w:rFonts w:cs="Times New Roman" w:ascii="Times New Roman" w:hAnsi="Times New Roman"/>
          <w:b/>
          <w:bCs/>
          <w:sz w:val="24"/>
          <w:szCs w:val="24"/>
        </w:rPr>
        <w:t>SPECIALISTAMS TEMA „PAVEIKUS SVEIKATOS UGDYMAS JAUNIMUI“ ORGANIZAVIMO IR VYKDYMO PASLAUGOS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I SKYRIUS</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BENDRA INFORMACIJA APIE PIRKIMĄ</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suteikti visuomenės sveikatos specialistams praktinių įgūdžių kaip efektyviai ir tikslingai vykdyti sveikatos ugdymo veiklas jaunimui, taikant įtraukiančius ir amžiui pritaikytus metodus.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sz w:val="24"/>
          <w:szCs w:val="24"/>
        </w:rPr>
      </w:pPr>
      <w:r>
        <w:rPr>
          <w:rFonts w:cs="Times New Roman" w:ascii="Times New Roman" w:hAnsi="Times New Roman"/>
          <w:b/>
          <w:bCs/>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15</w:t>
      </w:r>
      <w:r>
        <w:rPr>
          <w:rFonts w:cs="TimesNewRomanPSMT" w:ascii="TimesNewRomanPSMT" w:hAnsi="TimesNewRomanPSMT"/>
          <w:sz w:val="24"/>
          <w:szCs w:val="24"/>
        </w:rPr>
        <w:t xml:space="preserve"> </w:t>
      </w:r>
      <w:r>
        <w:rPr>
          <w:rFonts w:cs="TimesNewRomanPSMT" w:ascii="TimesNewRomanPSMT" w:hAnsi="TimesNewRomanPSMT"/>
          <w:b/>
          <w:bCs/>
          <w:sz w:val="24"/>
          <w:szCs w:val="24"/>
        </w:rPr>
        <w:t>(penkiolika)</w:t>
      </w:r>
      <w:r>
        <w:rPr>
          <w:rFonts w:cs="TimesNewRomanPSMT" w:ascii="TimesNewRomanPSMT" w:hAnsi="TimesNewRomanPSMT"/>
          <w:sz w:val="24"/>
          <w:szCs w:val="24"/>
        </w:rPr>
        <w:t xml:space="preserve"> mėnesių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w:t>
      </w:r>
      <w:r>
        <w:rPr>
          <w:rFonts w:cs="Times New Roman" w:ascii="Times New Roman" w:hAnsi="Times New Roman"/>
          <w:bCs/>
          <w:sz w:val="24"/>
          <w:szCs w:val="24"/>
        </w:rPr>
        <w:t xml:space="preserve">nei </w:t>
      </w:r>
      <w:r>
        <w:rPr>
          <w:rFonts w:cs="Times New Roman" w:ascii="Times New Roman" w:hAnsi="Times New Roman"/>
          <w:b/>
          <w:bCs/>
          <w:sz w:val="24"/>
          <w:szCs w:val="24"/>
          <w:u w:val="single"/>
        </w:rPr>
        <w:t>17 mokymo grupių</w:t>
      </w:r>
      <w:r>
        <w:rPr>
          <w:rFonts w:cs="Times New Roman" w:ascii="Times New Roman" w:hAnsi="Times New Roman"/>
          <w:bCs/>
          <w:sz w:val="24"/>
          <w:szCs w:val="24"/>
        </w:rPr>
        <w:t xml:space="preserve"> </w:t>
      </w:r>
      <w:r>
        <w:rPr>
          <w:rFonts w:cs="Times New Roman" w:ascii="Times New Roman" w:hAnsi="Times New Roman"/>
          <w:bCs/>
          <w:color w:val="000000"/>
          <w:sz w:val="24"/>
          <w:szCs w:val="24"/>
        </w:rPr>
        <w:t>gyvai</w:t>
      </w:r>
      <w:r>
        <w:rPr>
          <w:rFonts w:cs="Times New Roman" w:ascii="Times New Roman" w:hAnsi="Times New Roman"/>
          <w:sz w:val="24"/>
          <w:szCs w:val="24"/>
        </w:rPr>
        <w:t xml:space="preserve"> </w:t>
      </w:r>
      <w:r>
        <w:rPr>
          <w:rFonts w:cs="Times New Roman" w:ascii="Times New Roman" w:hAnsi="Times New Roman"/>
          <w:bCs/>
          <w:color w:val="000000"/>
          <w:sz w:val="24"/>
          <w:szCs w:val="24"/>
        </w:rPr>
        <w:t xml:space="preserve">bei apmokyti </w:t>
      </w:r>
      <w:r>
        <w:rPr>
          <w:rFonts w:cs="Times New Roman" w:ascii="Times New Roman" w:hAnsi="Times New Roman"/>
          <w:b/>
          <w:color w:val="000000"/>
          <w:sz w:val="24"/>
          <w:szCs w:val="24"/>
        </w:rPr>
        <w:t xml:space="preserve">ne mažiau nei 3 mokymo grupes </w:t>
      </w:r>
      <w:r>
        <w:rPr>
          <w:rFonts w:cs="Times New Roman" w:ascii="Times New Roman" w:hAnsi="Times New Roman"/>
          <w:bCs/>
          <w:color w:val="000000"/>
          <w:sz w:val="24"/>
          <w:szCs w:val="24"/>
        </w:rPr>
        <w:t>(68</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specialistus) </w:t>
      </w:r>
      <w:r>
        <w:rPr>
          <w:rFonts w:cs="Times New Roman" w:ascii="Times New Roman" w:hAnsi="Times New Roman"/>
          <w:b/>
          <w:color w:val="000000"/>
          <w:sz w:val="24"/>
          <w:szCs w:val="24"/>
        </w:rPr>
        <w:t xml:space="preserve">Sostinės regione (Vilniaus apskritis) ir ne mažiau nei 14 grupių </w:t>
      </w:r>
      <w:r>
        <w:rPr>
          <w:rFonts w:cs="Times New Roman" w:ascii="Times New Roman" w:hAnsi="Times New Roman"/>
          <w:bCs/>
          <w:color w:val="000000"/>
          <w:sz w:val="24"/>
          <w:szCs w:val="24"/>
        </w:rPr>
        <w:t>(332</w:t>
      </w:r>
      <w:r>
        <w:rPr>
          <w:rFonts w:cs="Times New Roman" w:ascii="Times New Roman" w:hAnsi="Times New Roman"/>
          <w:b/>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specialistus)</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1"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(dvidešimt)</w:t>
      </w:r>
      <w:r>
        <w:rPr>
          <w:rFonts w:cs="Times New Roman" w:ascii="Times New Roman" w:hAnsi="Times New Roman"/>
          <w:color w:val="000000"/>
          <w:sz w:val="24"/>
          <w:szCs w:val="24"/>
        </w:rPr>
        <w:t xml:space="preserve"> d. d.</w:t>
      </w:r>
      <w:r>
        <w:rPr>
          <w:rFonts w:cs="Times New Roman" w:ascii="Times New Roman" w:hAnsi="Times New Roman"/>
          <w:bCs/>
          <w:color w:val="000000"/>
          <w:sz w:val="24"/>
          <w:szCs w:val="24"/>
        </w:rPr>
        <w:t xml:space="preserve"> nuo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sz w:val="24"/>
          <w:szCs w:val="24"/>
        </w:rPr>
        <w:t>Sostinės regionas (Vilniaus apskritis)</w:t>
      </w:r>
      <w:r>
        <w:rPr>
          <w:rFonts w:cs="Times New Roman" w:ascii="Times New Roman" w:hAnsi="Times New Roman"/>
          <w:b/>
          <w:sz w:val="24"/>
          <w:szCs w:val="24"/>
        </w:rPr>
        <w:t xml:space="preserve"> ir</w:t>
      </w:r>
      <w:r>
        <w:rPr>
          <w:rFonts w:cs="Times New Roman" w:ascii="Times New Roman" w:hAnsi="Times New Roman"/>
          <w:b/>
          <w:bCs/>
          <w:sz w:val="24"/>
          <w:szCs w:val="24"/>
        </w:rPr>
        <w:t xml:space="preserve"> Vidurio ir vakarų Lietuvos 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ascii="Times New Roman" w:hAnsi="Times New Roman"/>
          <w:sz w:val="24"/>
          <w:szCs w:val="24"/>
        </w:rPr>
        <w:t>Vaikų ir paauglių mokymosi psichologiniai pagrindai. Mokymosi motyvacija ir dėmesio išlaikymas. Kaip jaunimas priima informaciją skirtingais amžiaus tarpsniais. Pasitikėjimo ir saugios aplinkos kūrimas.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ascii="Times New Roman" w:hAnsi="Times New Roman"/>
          <w:sz w:val="24"/>
          <w:szCs w:val="24"/>
        </w:rPr>
        <w:t>Efektyvūs mokymo metodai dirbant su vaikais ir paaugliais. Metodų parinkimas pagal amžių.</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Komunikacija su jaunimu ir grupės valdymas</w:t>
      </w:r>
      <w:r>
        <w:rPr>
          <w:rFonts w:ascii="Times New Roman" w:hAnsi="Times New Roman"/>
          <w:sz w:val="24"/>
          <w:szCs w:val="24"/>
        </w:rPr>
        <w:t>. Kontaktas su auditorija ir dėmesio išlaikymas. Sudėtingų situacijų valdymas.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Elgsenos keitimo strategijų taikymas jaunimui. Sveikatai palankios elgsenos formavimosi principai. Motyvavimo ir įgalinimo metodai. Praktiniai elgsenos keitimo įrankiai.</w:t>
      </w:r>
    </w:p>
    <w:p>
      <w:pPr>
        <w:pStyle w:val="ListParagraph"/>
        <w:numPr>
          <w:ilvl w:val="0"/>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privalo apimti praktinius užsiėmimus, kurių metu dalyviai galėtų išbandyti pagrindinius mokymo metodus, aktyviai taikyti įgytas žinias bei gauti grįžtamąjį ryšį iš lektoriaus ir (ar) grupės.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iki einamojo </w:t>
      </w:r>
      <w:r>
        <w:rPr>
          <w:rFonts w:cs="Times New Roman" w:ascii="Times New Roman" w:hAnsi="Times New Roman"/>
          <w:bCs/>
          <w:color w:val="000000"/>
          <w:sz w:val="24"/>
          <w:szCs w:val="24"/>
        </w:rPr>
        <w:t xml:space="preserve">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10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28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31–37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5</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5"/>
      <w:numFmt w:val="decimal"/>
      <w:lvlText w:val="%1."/>
      <w:lvlJc w:val="left"/>
      <w:pPr>
        <w:tabs>
          <w:tab w:val="num" w:pos="0"/>
        </w:tabs>
        <w:ind w:left="480" w:hanging="480"/>
      </w:pPr>
      <w:rPr>
        <w:b w:val="false"/>
        <w:bCs/>
        <w:rFonts w:cs="Arial" w:cstheme="minorBidi"/>
      </w:rPr>
    </w:lvl>
    <w:lvl w:ilvl="1">
      <w:start w:val="1"/>
      <w:numFmt w:val="decimal"/>
      <w:lvlText w:val="%1.%2."/>
      <w:lvlJc w:val="left"/>
      <w:pPr>
        <w:tabs>
          <w:tab w:val="num" w:pos="0"/>
        </w:tabs>
        <w:ind w:left="480" w:hanging="480"/>
      </w:pPr>
      <w:rPr>
        <w:rFonts w:cs="Arial" w:cstheme="minorBidi"/>
      </w:rPr>
    </w:lvl>
    <w:lvl w:ilvl="2">
      <w:start w:val="1"/>
      <w:numFmt w:val="decimal"/>
      <w:lvlText w:val="%1.%2.%3."/>
      <w:lvlJc w:val="left"/>
      <w:pPr>
        <w:tabs>
          <w:tab w:val="num" w:pos="0"/>
        </w:tabs>
        <w:ind w:left="720" w:hanging="720"/>
      </w:pPr>
      <w:rPr>
        <w:rFonts w:cs="Arial" w:cstheme="minorBidi"/>
      </w:rPr>
    </w:lvl>
    <w:lvl w:ilvl="3">
      <w:start w:val="1"/>
      <w:numFmt w:val="decimal"/>
      <w:lvlText w:val="%1.%2.%3.%4."/>
      <w:lvlJc w:val="left"/>
      <w:pPr>
        <w:tabs>
          <w:tab w:val="num" w:pos="0"/>
        </w:tabs>
        <w:ind w:left="720" w:hanging="720"/>
      </w:pPr>
      <w:rPr>
        <w:rFonts w:cs="Arial" w:cstheme="minorBidi"/>
      </w:rPr>
    </w:lvl>
    <w:lvl w:ilvl="4">
      <w:start w:val="1"/>
      <w:numFmt w:val="decimal"/>
      <w:lvlText w:val="%1.%2.%3.%4.%5."/>
      <w:lvlJc w:val="left"/>
      <w:pPr>
        <w:tabs>
          <w:tab w:val="num" w:pos="0"/>
        </w:tabs>
        <w:ind w:left="1080" w:hanging="1080"/>
      </w:pPr>
      <w:rPr>
        <w:rFonts w:cs="Arial" w:cstheme="minorBidi"/>
      </w:rPr>
    </w:lvl>
    <w:lvl w:ilvl="5">
      <w:start w:val="1"/>
      <w:numFmt w:val="decimal"/>
      <w:lvlText w:val="%1.%2.%3.%4.%5.%6."/>
      <w:lvlJc w:val="left"/>
      <w:pPr>
        <w:tabs>
          <w:tab w:val="num" w:pos="0"/>
        </w:tabs>
        <w:ind w:left="1080" w:hanging="1080"/>
      </w:pPr>
      <w:rPr>
        <w:rFonts w:cs="Arial" w:cstheme="minorBidi"/>
      </w:rPr>
    </w:lvl>
    <w:lvl w:ilvl="6">
      <w:start w:val="1"/>
      <w:numFmt w:val="decimal"/>
      <w:lvlText w:val="%1.%2.%3.%4.%5.%6.%7."/>
      <w:lvlJc w:val="left"/>
      <w:pPr>
        <w:tabs>
          <w:tab w:val="num" w:pos="0"/>
        </w:tabs>
        <w:ind w:left="1440" w:hanging="1440"/>
      </w:pPr>
      <w:rPr>
        <w:rFonts w:cs="Arial" w:cstheme="minorBidi"/>
      </w:rPr>
    </w:lvl>
    <w:lvl w:ilvl="7">
      <w:start w:val="1"/>
      <w:numFmt w:val="decimal"/>
      <w:lvlText w:val="%1.%2.%3.%4.%5.%6.%7.%8."/>
      <w:lvlJc w:val="left"/>
      <w:pPr>
        <w:tabs>
          <w:tab w:val="num" w:pos="0"/>
        </w:tabs>
        <w:ind w:left="1440" w:hanging="1440"/>
      </w:pPr>
      <w:rPr>
        <w:rFonts w:cs="Arial" w:cstheme="minorBidi"/>
      </w:rPr>
    </w:lvl>
    <w:lvl w:ilvl="8">
      <w:start w:val="1"/>
      <w:numFmt w:val="decimal"/>
      <w:lvlText w:val="%1.%2.%3.%4.%5.%6.%7.%8.%9."/>
      <w:lvlJc w:val="left"/>
      <w:pPr>
        <w:tabs>
          <w:tab w:val="num" w:pos="0"/>
        </w:tabs>
        <w:ind w:left="1800" w:hanging="1800"/>
      </w:pPr>
      <w:rPr>
        <w:rFonts w:cs="Arial" w:cstheme="minorBidi"/>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3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Application>LibreOffice/7.6.4.1$Windows_X86_64 LibreOffice_project/e19e193f88cd6c0525a17fb7a176ed8e6a3e2aa1</Application>
  <AppVersion>15.0000</AppVersion>
  <Pages>6</Pages>
  <Words>2172</Words>
  <Characters>15397</Characters>
  <CharactersWithSpaces>17437</CharactersWithSpaces>
  <Paragraphs>103</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Karolina Rastenytė</cp:lastModifiedBy>
  <dcterms:modified xsi:type="dcterms:W3CDTF">2026-04-07T14:28:00Z</dcterms:modified>
  <cp:revision>159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