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Ref38539939"/>
      <w:bookmarkStart w:id="1" w:name="_Ref38541068"/>
      <w:bookmarkStart w:id="2" w:name="_Ref38885053"/>
      <w:bookmarkStart w:id="3" w:name="_Ref38899023"/>
      <w:bookmarkStart w:id="4" w:name="_Toc124404957"/>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5"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6"/>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6" w:name="_Hlk205286575"/>
      <w:r>
        <w:rPr>
          <w:rFonts w:cs="Times New Roman" w:ascii="Times New Roman" w:hAnsi="Times New Roman"/>
          <w:color w:themeColor="text1" w:val="000000"/>
          <w:sz w:val="24"/>
          <w:szCs w:val="24"/>
        </w:rPr>
        <w:t xml:space="preserve">Mokymai aktualiais visuomenės sveikatos stiprinimo klausimais. </w:t>
      </w:r>
      <w:bookmarkEnd w:id="5"/>
      <w:bookmarkEnd w:id="6"/>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7"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7"/>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8" w:name="_Hlk159083609"/>
      <w:bookmarkStart w:id="9"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VIII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MOKYMŲ VISUOMENĖS SVEIKATOS SPECIALISTAMS TEMA „</w:t>
      </w:r>
      <w:r>
        <w:rPr>
          <w:rFonts w:cs="Times New Roman" w:ascii="Times New Roman" w:hAnsi="Times New Roman"/>
          <w:b/>
          <w:bCs/>
          <w:sz w:val="24"/>
          <w:szCs w:val="24"/>
        </w:rPr>
        <w:t>PIRMOJI MEDICINOS PAGALBA“</w:t>
      </w:r>
      <w:r>
        <w:rPr>
          <w:rFonts w:cs="Times New Roman" w:ascii="Times New Roman" w:hAnsi="Times New Roman"/>
          <w:b/>
          <w:bCs/>
          <w:color w:themeColor="text1" w:val="000000"/>
          <w:sz w:val="24"/>
          <w:szCs w:val="24"/>
        </w:rPr>
        <w:t xml:space="preserve"> </w:t>
      </w:r>
      <w:r>
        <w:rPr>
          <w:rFonts w:cs="Times New Roman" w:ascii="Times New Roman" w:hAnsi="Times New Roman"/>
          <w:b/>
          <w:bCs/>
          <w:sz w:val="24"/>
          <w:szCs w:val="24"/>
        </w:rPr>
        <w:t>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Pirkimo objektas – </w:t>
      </w:r>
      <w:bookmarkStart w:id="10" w:name="_Hlk189747483"/>
      <w:r>
        <w:rPr>
          <w:rFonts w:cs="Times New Roman" w:ascii="Times New Roman" w:hAnsi="Times New Roman"/>
          <w:color w:themeColor="text1" w:val="000000"/>
          <w:sz w:val="24"/>
          <w:szCs w:val="24"/>
        </w:rPr>
        <w:t xml:space="preserve">visuomenės sveikatos </w:t>
      </w:r>
      <w:r>
        <w:rPr>
          <w:rFonts w:cs="Times New Roman" w:ascii="Times New Roman" w:hAnsi="Times New Roman"/>
          <w:color w:val="000000"/>
          <w:sz w:val="24"/>
          <w:szCs w:val="24"/>
        </w:rPr>
        <w:t>specialistų</w:t>
      </w:r>
      <w:bookmarkEnd w:id="10"/>
      <w:r>
        <w:rPr>
          <w:rFonts w:cs="Times New Roman" w:ascii="Times New Roman" w:hAnsi="Times New Roman"/>
          <w:color w:val="000000"/>
          <w:sz w:val="24"/>
          <w:szCs w:val="24"/>
        </w:rPr>
        <w:t xml:space="preserve"> </w:t>
      </w:r>
      <w:r>
        <w:rPr>
          <w:rFonts w:cs="Times New Roman" w:ascii="Times New Roman" w:hAnsi="Times New Roman"/>
          <w:color w:themeColor="text1" w:val="000000"/>
          <w:sz w:val="24"/>
          <w:szCs w:val="24"/>
        </w:rPr>
        <w:t>mokymų organizavimo ir vykdymo, paslaugos (toliau – Mokymai).</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lang w:eastAsia="en-US"/>
        </w:rPr>
        <w:t>Mokymų tikslas – s</w:t>
      </w:r>
      <w:r>
        <w:rPr>
          <w:rFonts w:cs="Times New Roman" w:ascii="Times New Roman" w:hAnsi="Times New Roman"/>
          <w:sz w:val="24"/>
          <w:szCs w:val="24"/>
        </w:rPr>
        <w:t>uteikti specialistams teorinių žinių ir praktinių įgūdžių, reikalingų tinkamai įvertinti nukentėjusiojo būklę ir efektyviai suteikti pirmąją medicinos pagalbą įvairių sveikatos sutrikimų ir traumų atvejais.</w:t>
      </w:r>
      <w:r>
        <w:rPr>
          <w:rFonts w:cs="Times New Roman" w:ascii="Times New Roman" w:hAnsi="Times New Roman"/>
          <w:color w:themeColor="text1" w:val="000000"/>
          <w:sz w:val="24"/>
          <w:szCs w:val="24"/>
        </w:rPr>
        <w:t xml:space="preserve">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Mokymų tikslinė grupė (toliau – tikslinė grupė): savivaldybių visuomenės sveikatos biuro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5"/>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15</w:t>
      </w:r>
      <w:r>
        <w:rPr>
          <w:rFonts w:cs="TimesNewRomanPSMT" w:ascii="TimesNewRomanPSMT" w:hAnsi="TimesNewRomanPSMT"/>
          <w:sz w:val="24"/>
          <w:szCs w:val="24"/>
        </w:rPr>
        <w:t xml:space="preserve"> </w:t>
      </w:r>
      <w:r>
        <w:rPr>
          <w:rFonts w:cs="TimesNewRomanPSMT" w:ascii="TimesNewRomanPSMT" w:hAnsi="TimesNewRomanPSMT"/>
          <w:b/>
          <w:bCs/>
          <w:sz w:val="24"/>
          <w:szCs w:val="24"/>
        </w:rPr>
        <w:t>(penkiolika)</w:t>
      </w:r>
      <w:r>
        <w:rPr>
          <w:rFonts w:cs="TimesNewRomanPSMT" w:ascii="TimesNewRomanPSMT" w:hAnsi="TimesNewRomanPSMT"/>
          <w:sz w:val="24"/>
          <w:szCs w:val="24"/>
        </w:rPr>
        <w:t xml:space="preserve"> mėnesių nuo sutarties įsigaliojimo dienos</w:t>
      </w:r>
      <w:r>
        <w:rPr>
          <w:rFonts w:cs="TimesNewRomanPS-BoldMT" w:ascii="TimesNewRomanPS-BoldMT" w:hAnsi="TimesNewRomanPS-BoldMT"/>
          <w:sz w:val="24"/>
          <w:szCs w:val="24"/>
        </w:rPr>
        <w:t>.</w:t>
      </w:r>
    </w:p>
    <w:p>
      <w:pPr>
        <w:pStyle w:val="ListParagraph"/>
        <w:widowControl w:val="false"/>
        <w:numPr>
          <w:ilvl w:val="0"/>
          <w:numId w:val="5"/>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Paslaugų teikėjas turi pravesti ne </w:t>
      </w:r>
      <w:r>
        <w:rPr>
          <w:rFonts w:cs="Times New Roman" w:ascii="Times New Roman" w:hAnsi="Times New Roman"/>
          <w:sz w:val="24"/>
          <w:szCs w:val="24"/>
        </w:rPr>
        <w:t xml:space="preserve">mažiau nei </w:t>
      </w:r>
      <w:r>
        <w:rPr>
          <w:rFonts w:cs="Times New Roman" w:ascii="Times New Roman" w:hAnsi="Times New Roman"/>
          <w:b/>
          <w:bCs/>
          <w:sz w:val="24"/>
          <w:szCs w:val="24"/>
          <w:u w:val="single"/>
        </w:rPr>
        <w:t xml:space="preserve"> 24 mokymo grupes</w:t>
      </w:r>
      <w:r>
        <w:rPr>
          <w:rFonts w:cs="Times New Roman" w:ascii="Times New Roman" w:hAnsi="Times New Roman"/>
          <w:sz w:val="24"/>
          <w:szCs w:val="24"/>
        </w:rPr>
        <w:t xml:space="preserve"> gyv</w:t>
      </w:r>
      <w:r>
        <w:rPr>
          <w:rFonts w:cs="Times New Roman" w:ascii="Times New Roman" w:hAnsi="Times New Roman"/>
          <w:color w:themeColor="text1" w:val="000000"/>
          <w:sz w:val="24"/>
          <w:szCs w:val="24"/>
        </w:rPr>
        <w:t>ai</w:t>
      </w:r>
      <w:r>
        <w:rPr>
          <w:rFonts w:cs="Times New Roman" w:ascii="Times New Roman" w:hAnsi="Times New Roman"/>
          <w:sz w:val="24"/>
          <w:szCs w:val="24"/>
        </w:rPr>
        <w:t xml:space="preserve"> </w:t>
      </w:r>
      <w:r>
        <w:rPr>
          <w:rFonts w:cs="Times New Roman" w:ascii="Times New Roman" w:hAnsi="Times New Roman"/>
          <w:color w:themeColor="text1" w:val="000000"/>
          <w:sz w:val="24"/>
          <w:szCs w:val="24"/>
        </w:rPr>
        <w:t xml:space="preserve">bei apmokyti ne mažiau </w:t>
      </w:r>
      <w:r>
        <w:rPr>
          <w:rFonts w:cs="Times New Roman" w:ascii="Times New Roman" w:hAnsi="Times New Roman"/>
          <w:sz w:val="24"/>
          <w:szCs w:val="24"/>
        </w:rPr>
        <w:t xml:space="preserve">kaip </w:t>
      </w:r>
      <w:r>
        <w:rPr>
          <w:rFonts w:cs="Times New Roman" w:ascii="Times New Roman" w:hAnsi="Times New Roman"/>
          <w:b/>
          <w:bCs/>
          <w:sz w:val="24"/>
          <w:szCs w:val="24"/>
        </w:rPr>
        <w:t>4 grupes</w:t>
      </w:r>
      <w:r>
        <w:rPr>
          <w:rFonts w:cs="Times New Roman" w:ascii="Times New Roman" w:hAnsi="Times New Roman"/>
          <w:sz w:val="24"/>
          <w:szCs w:val="24"/>
        </w:rPr>
        <w:t xml:space="preserve"> (68 tikslinės grupės</w:t>
      </w:r>
      <w:r>
        <w:rPr>
          <w:rFonts w:cs="Times New Roman" w:ascii="Times New Roman" w:hAnsi="Times New Roman"/>
          <w:b/>
          <w:bCs/>
          <w:sz w:val="24"/>
          <w:szCs w:val="24"/>
        </w:rPr>
        <w:t xml:space="preserve"> </w:t>
      </w:r>
      <w:r>
        <w:rPr>
          <w:rFonts w:cs="Times New Roman" w:ascii="Times New Roman" w:hAnsi="Times New Roman"/>
          <w:sz w:val="24"/>
          <w:szCs w:val="24"/>
        </w:rPr>
        <w:t xml:space="preserve">specialistų) </w:t>
      </w:r>
      <w:r>
        <w:rPr>
          <w:rFonts w:cs="Times New Roman" w:ascii="Times New Roman" w:hAnsi="Times New Roman"/>
          <w:b/>
          <w:bCs/>
          <w:sz w:val="24"/>
          <w:szCs w:val="24"/>
        </w:rPr>
        <w:t xml:space="preserve">Sostinės </w:t>
      </w:r>
      <w:r>
        <w:rPr>
          <w:rFonts w:cs="Times New Roman" w:ascii="Times New Roman" w:hAnsi="Times New Roman"/>
          <w:sz w:val="24"/>
          <w:szCs w:val="24"/>
        </w:rPr>
        <w:t xml:space="preserve">regione (Vilniaus apskritis) ir ne mažiau kaip </w:t>
      </w:r>
      <w:r>
        <w:rPr>
          <w:rFonts w:cs="Times New Roman" w:ascii="Times New Roman" w:hAnsi="Times New Roman"/>
          <w:b/>
          <w:bCs/>
          <w:sz w:val="24"/>
          <w:szCs w:val="24"/>
        </w:rPr>
        <w:t>20 grupių</w:t>
      </w:r>
      <w:r>
        <w:rPr>
          <w:rFonts w:cs="Times New Roman" w:ascii="Times New Roman" w:hAnsi="Times New Roman"/>
          <w:sz w:val="24"/>
          <w:szCs w:val="24"/>
        </w:rPr>
        <w:t xml:space="preserve"> (332 tikslinės grupės</w:t>
      </w:r>
      <w:r>
        <w:rPr>
          <w:rFonts w:cs="Times New Roman" w:ascii="Times New Roman" w:hAnsi="Times New Roman"/>
          <w:color w:themeColor="text1" w:val="000000"/>
          <w:sz w:val="24"/>
          <w:szCs w:val="24"/>
        </w:rPr>
        <w:t xml:space="preserve"> specialistų) </w:t>
      </w:r>
      <w:r>
        <w:rPr>
          <w:rFonts w:cs="Times New Roman" w:ascii="Times New Roman" w:hAnsi="Times New Roman"/>
          <w:b/>
          <w:bCs/>
          <w:color w:themeColor="text1" w:val="000000"/>
          <w:sz w:val="24"/>
          <w:szCs w:val="24"/>
        </w:rPr>
        <w:t>Vidurio ir vakarų Lietuvos regione (visos apskritys, išskyrus Vilniaus apskritį)</w:t>
      </w:r>
      <w:r>
        <w:rPr>
          <w:rFonts w:eastAsia="" w:cs="Times New Roman" w:ascii="Times New Roman" w:hAnsi="Times New Roman" w:eastAsiaTheme="minorEastAsia"/>
          <w:color w:themeColor="text1" w:val="000000"/>
          <w:sz w:val="24"/>
          <w:szCs w:val="24"/>
          <w:lang w:eastAsia="lt-LT"/>
        </w:rPr>
        <w:t xml:space="preserve"> </w:t>
      </w:r>
      <w:bookmarkStart w:id="11" w:name="_Hlk178240899"/>
    </w:p>
    <w:p>
      <w:pPr>
        <w:pStyle w:val="ListParagraph"/>
        <w:widowControl w:val="false"/>
        <w:numPr>
          <w:ilvl w:val="0"/>
          <w:numId w:val="5"/>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eastAsia="" w:cs="Times New Roman" w:ascii="Times New Roman" w:hAnsi="Times New Roman" w:eastAsiaTheme="minorEastAsia"/>
          <w:color w:themeColor="text1" w:val="000000"/>
          <w:sz w:val="24"/>
          <w:szCs w:val="24"/>
          <w:lang w:eastAsia="lt-LT"/>
        </w:rPr>
        <w:t xml:space="preserve">Vieną mokymosi grupę sudaro </w:t>
      </w:r>
      <w:r>
        <w:rPr>
          <w:rFonts w:eastAsia="" w:cs="Times New Roman" w:ascii="Times New Roman" w:hAnsi="Times New Roman" w:eastAsiaTheme="minorEastAsia"/>
          <w:sz w:val="24"/>
          <w:szCs w:val="24"/>
          <w:lang w:eastAsia="lt-LT"/>
        </w:rPr>
        <w:t>ne daugiau kaip 17 tikslinės grupės</w:t>
      </w:r>
      <w:r>
        <w:rPr>
          <w:rFonts w:cs="Times New Roman" w:ascii="Times New Roman" w:hAnsi="Times New Roman"/>
          <w:sz w:val="24"/>
          <w:szCs w:val="24"/>
        </w:rPr>
        <w:t xml:space="preserve"> specialistų.</w:t>
      </w:r>
      <w:bookmarkEnd w:id="11"/>
    </w:p>
    <w:p>
      <w:pPr>
        <w:pStyle w:val="Normal"/>
        <w:numPr>
          <w:ilvl w:val="0"/>
          <w:numId w:val="5"/>
        </w:numPr>
        <w:tabs>
          <w:tab w:val="clear" w:pos="1296"/>
          <w:tab w:val="left" w:pos="426" w:leader="none"/>
        </w:tabs>
        <w:suppressAutoHyphens w:val="false"/>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5"/>
        </w:numPr>
        <w:tabs>
          <w:tab w:val="clear" w:pos="1296"/>
          <w:tab w:val="left" w:pos="426" w:leader="none"/>
        </w:tabs>
        <w:suppressAutoHyphens w:val="false"/>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w:t>
      </w:r>
      <w:r>
        <w:rPr>
          <w:rFonts w:cs="Times New Roman" w:ascii="Times New Roman" w:hAnsi="Times New Roman"/>
          <w:bCs/>
          <w:color w:val="000000"/>
          <w:sz w:val="24"/>
          <w:szCs w:val="24"/>
        </w:rPr>
        <w:t>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5"/>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ListParagraph"/>
        <w:numPr>
          <w:ilvl w:val="0"/>
          <w:numId w:val="7"/>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vadovaujantis Asmens sveikatos priežiūros, visuomenės sveikatos ir farmacijos specialistų kompetencijų teikiant pirmąją medicinos pagalbą aprašo, patvirtinto Sveikatos apsaugos ministro 2003 m. liepos 11 d. įsakymu Nr. V-450 „Dėl Asmens sveikatos priežiūros įstaigos pirmosios medicinos pagalbos rinkinio aprašo, Pirmosios pagalbos rinkinio aprašo, Švietimo teikėjų, vykdančių ikimokyklinio, priešmokyklinio ir bendrojo ugdymo programas, pirmosios pagalbos rinkinio aprašo ir Asmens sveikatos priežiūros, visuomenės sveikatos ir farmacijos specialistų kompetencijos teikiant pirmąją medicinos pagalbą aprašo patvirtinimo“, 4 punktu bei atitikti šiame apraše nustatytas visuomenės sveikatos specialistų kompetencijas teikti pirmąją medicinos pagalbą.</w:t>
      </w:r>
    </w:p>
    <w:p>
      <w:pPr>
        <w:pStyle w:val="ListParagraph"/>
        <w:numPr>
          <w:ilvl w:val="0"/>
          <w:numId w:val="7"/>
        </w:numPr>
        <w:tabs>
          <w:tab w:val="clear" w:pos="1296"/>
          <w:tab w:val="left" w:pos="426" w:leader="none"/>
        </w:tabs>
        <w:spacing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pagrindinius mokymo metodus, aktyviai taikyti įgytas žinias bei gauti grįžtamąjį ryšį iš lektoriaus ir (ar) grupės.</w:t>
      </w:r>
    </w:p>
    <w:p>
      <w:pPr>
        <w:pStyle w:val="Normal"/>
        <w:numPr>
          <w:ilvl w:val="0"/>
          <w:numId w:val="7"/>
        </w:numPr>
        <w:tabs>
          <w:tab w:val="clear" w:pos="1296"/>
          <w:tab w:val="left" w:pos="426" w:leader="none"/>
          <w:tab w:val="left" w:pos="709" w:leader="none"/>
        </w:tabs>
        <w:suppressAutoHyphens w:val="false"/>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7"/>
        </w:numPr>
        <w:tabs>
          <w:tab w:val="clear" w:pos="1296"/>
          <w:tab w:val="left" w:pos="426" w:leader="none"/>
          <w:tab w:val="left" w:pos="709" w:leader="none"/>
        </w:tabs>
        <w:suppressAutoHyphens w:val="false"/>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7"/>
        </w:numPr>
        <w:tabs>
          <w:tab w:val="clear" w:pos="1296"/>
          <w:tab w:val="left" w:pos="426" w:leader="none"/>
          <w:tab w:val="left" w:pos="567" w:leader="none"/>
        </w:tabs>
        <w:suppressAutoHyphens w:val="false"/>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7"/>
        </w:numPr>
        <w:tabs>
          <w:tab w:val="clear" w:pos="1296"/>
          <w:tab w:val="left" w:pos="426" w:leader="none"/>
          <w:tab w:val="left" w:pos="567" w:leader="none"/>
        </w:tabs>
        <w:suppressAutoHyphens w:val="false"/>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7"/>
        </w:numPr>
        <w:tabs>
          <w:tab w:val="clear" w:pos="1296"/>
          <w:tab w:val="left" w:pos="426" w:leader="none"/>
          <w:tab w:val="left" w:pos="567" w:leader="none"/>
        </w:tabs>
        <w:suppressAutoHyphens w:val="false"/>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7"/>
        </w:numPr>
        <w:tabs>
          <w:tab w:val="clear" w:pos="1296"/>
          <w:tab w:val="left" w:pos="426" w:leader="none"/>
          <w:tab w:val="left" w:pos="567" w:leader="none"/>
        </w:tabs>
        <w:suppressAutoHyphens w:val="false"/>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iki einamojo mėnesio 10 d. Perkančiajai organizacijai pateikia kito mėnesio mokymų grafiką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color w:themeColor="text1"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7"/>
        </w:numPr>
        <w:tabs>
          <w:tab w:val="clear" w:pos="1296"/>
          <w:tab w:val="left" w:pos="426" w:leader="none"/>
          <w:tab w:val="left" w:pos="709"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atsakingas už: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mokymo programos parengimą ir vertinimo rekomendacijų pateikimą teisės aktų nustatyta tvarka;</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patalpas mokymams;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mitybą mokymų metu (2 kavos pertraukos ir pietūs);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mokymo dalyvių surinkimą;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mokymų tvarkaraščio sudarymą;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dalyvių registraciją ir lankomumo fiksavimą (jeigu mokymai ilgesni nei 1 d.) pagal Perkančiosios organizacijos pateiktą Projekto dalyvių sąrašo formą;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duomenų surinkimą pagal Perkančiosios organizacijos pateiktą Projekto dalyvio anketą;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Perkančiosios organizacijos pateikto pranešimo apie asmens duomenų tvarkymą įteikimą mokymų dalyviams, </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laisvos formos darbdavio pažymų, patvirtinančių, kad asmuo dirba 7 punkte nurodytoje įstaigoje, surinkimą;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7"/>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7"/>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7"/>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7"/>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7"/>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7"/>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7"/>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7"/>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7"/>
        </w:numPr>
        <w:tabs>
          <w:tab w:val="clear" w:pos="1296"/>
          <w:tab w:val="left" w:pos="567"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7"/>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7"/>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7"/>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3"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9"/>
      <w:bookmarkEnd w:id="13"/>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5</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6">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5"/>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customStyle="1">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 w:customStyle="1">
    <w:name w:val="caption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name w:val="index heading1"/>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2"/>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3"/>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4"/>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suppressAutoHyphens w:val="true"/>
      <w:bidi w:val="0"/>
      <w:spacing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2.xml><?xml version="1.0" encoding="utf-8"?>
<ds:datastoreItem xmlns:ds="http://schemas.openxmlformats.org/officeDocument/2006/customXml" ds:itemID="{DEE6B2F6-7EC0-4218-B70D-2A9118A88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31011-8813-4cd1-9ea9-dbba38d19084"/>
    <ds:schemaRef ds:uri="06f63fd6-598b-4ec0-b1e4-39d72de8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06f63fd6-598b-4ec0-b1e4-39d72de850dc"/>
    <ds:schemaRef ds:uri="3b231011-8813-4cd1-9ea9-dbba38d19084"/>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Application>LibreOffice/7.6.4.1$Windows_X86_64 LibreOffice_project/e19e193f88cd6c0525a17fb7a176ed8e6a3e2aa1</Application>
  <AppVersion>15.0000</AppVersion>
  <Pages>6</Pages>
  <Words>2173</Words>
  <Characters>15429</Characters>
  <CharactersWithSpaces>17482</CharactersWithSpaces>
  <Paragraphs>98</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Karolina Rastenytė</cp:lastModifiedBy>
  <dcterms:modified xsi:type="dcterms:W3CDTF">2026-04-09T05:40:00Z</dcterms:modified>
  <cp:revision>130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