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F5C78A0"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58CAD96E"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044E62">
              <w:rPr>
                <w:rFonts w:ascii="Times New Roman" w:hAnsi="Times New Roman" w:cs="Times New Roman"/>
                <w:lang w:val="lt-LT"/>
              </w:rPr>
              <w:t>gegužės</w:t>
            </w:r>
            <w:r w:rsidR="009D18DD">
              <w:rPr>
                <w:rFonts w:ascii="Times New Roman" w:hAnsi="Times New Roman" w:cs="Times New Roman"/>
                <w:lang w:val="lt-LT"/>
              </w:rPr>
              <w:t xml:space="preserve"> </w:t>
            </w:r>
            <w:r w:rsidR="000C4B36">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5549E48A"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044E62">
              <w:rPr>
                <w:rFonts w:ascii="Times New Roman" w:hAnsi="Times New Roman" w:cs="Times New Roman"/>
                <w:lang w:val="lt-LT"/>
              </w:rPr>
              <w:t xml:space="preserve"> sp. Dmitrij Tatol</w:t>
            </w:r>
            <w:r w:rsidR="00C83C83">
              <w:rPr>
                <w:rFonts w:ascii="Times New Roman" w:hAnsi="Times New Roman" w:cs="Times New Roman"/>
                <w:lang w:val="lt-LT"/>
              </w:rPr>
              <w:t>; Tel. Nr. +370 706 75 8</w:t>
            </w:r>
            <w:r w:rsidR="00044E62">
              <w:rPr>
                <w:rFonts w:ascii="Times New Roman" w:hAnsi="Times New Roman" w:cs="Times New Roman"/>
                <w:lang w:val="lt-LT"/>
              </w:rPr>
              <w:t>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044E62">
              <w:rPr>
                <w:rFonts w:ascii="Times New Roman" w:hAnsi="Times New Roman" w:cs="Times New Roman"/>
                <w:lang w:val="lt-LT"/>
              </w:rPr>
              <w:t>dmitrij.tatol</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 xml:space="preserve">Eil. Nr. </w:t>
            </w:r>
          </w:p>
        </w:tc>
        <w:tc>
          <w:tcPr>
            <w:tcW w:w="2694" w:type="dxa"/>
          </w:tcPr>
          <w:p w14:paraId="6A543A02" w14:textId="3B0EA899"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Perkamo objekto pavadinimas</w:t>
            </w:r>
          </w:p>
        </w:tc>
        <w:tc>
          <w:tcPr>
            <w:tcW w:w="4677" w:type="dxa"/>
          </w:tcPr>
          <w:p w14:paraId="3C4257D0" w14:textId="2294EA0C"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Reikalavimai prekei</w:t>
            </w:r>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Mato vnt.</w:t>
            </w:r>
          </w:p>
        </w:tc>
        <w:tc>
          <w:tcPr>
            <w:tcW w:w="997" w:type="dxa"/>
          </w:tcPr>
          <w:p w14:paraId="33778021" w14:textId="462C4652" w:rsidR="005C484F" w:rsidRPr="0090490F" w:rsidRDefault="00284A47" w:rsidP="005075B1">
            <w:pPr>
              <w:rPr>
                <w:rFonts w:ascii="Times New Roman" w:hAnsi="Times New Roman" w:cs="Times New Roman"/>
                <w:sz w:val="20"/>
                <w:szCs w:val="20"/>
              </w:rPr>
            </w:pPr>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06D62A11" w:rsidR="00B34ED1" w:rsidRPr="0090490F" w:rsidRDefault="00FF4A61" w:rsidP="00284A47">
            <w:pPr>
              <w:rPr>
                <w:rFonts w:ascii="Times New Roman" w:hAnsi="Times New Roman" w:cs="Times New Roman"/>
                <w:sz w:val="20"/>
                <w:szCs w:val="20"/>
              </w:rPr>
            </w:pPr>
            <w:r>
              <w:rPr>
                <w:rFonts w:ascii="Times New Roman" w:hAnsi="Times New Roman" w:cs="Times New Roman"/>
                <w:sz w:val="20"/>
                <w:szCs w:val="20"/>
              </w:rPr>
              <w:t>Stelažai/sandėliavimo lentynos</w:t>
            </w:r>
          </w:p>
        </w:tc>
        <w:tc>
          <w:tcPr>
            <w:tcW w:w="4677" w:type="dxa"/>
          </w:tcPr>
          <w:p w14:paraId="48625ED0" w14:textId="136E5218" w:rsidR="00B34ED1" w:rsidRPr="0090490F" w:rsidRDefault="00FF4A61" w:rsidP="008E19A0">
            <w:pPr>
              <w:jc w:val="both"/>
              <w:rPr>
                <w:rFonts w:ascii="Times New Roman" w:hAnsi="Times New Roman" w:cs="Times New Roman"/>
                <w:sz w:val="20"/>
                <w:szCs w:val="20"/>
              </w:rPr>
            </w:pPr>
            <w:r w:rsidRPr="00FF4A61">
              <w:rPr>
                <w:rFonts w:ascii="Times New Roman" w:hAnsi="Times New Roman" w:cs="Times New Roman"/>
                <w:sz w:val="20"/>
                <w:szCs w:val="20"/>
              </w:rPr>
              <w:t>Sandėliavimo lentyna turi būti tokių matmenų: 196 x 120 x 40 cm, (+- 5 cm.) 5 lentynų, vienos lentynos apkrova ne mažiau 300 kg. Gali būti juodos arba pilkos spalvos, metalinės konstrukcijos turi būti dažyto, turi tūrėti penkias CHB lentas. Turi būti sertifikuota PEFC.</w:t>
            </w:r>
          </w:p>
        </w:tc>
        <w:tc>
          <w:tcPr>
            <w:tcW w:w="1559" w:type="dxa"/>
            <w:vAlign w:val="center"/>
          </w:tcPr>
          <w:p w14:paraId="00DC3D63" w14:textId="01C9394C" w:rsidR="00284A47" w:rsidRPr="0090490F" w:rsidRDefault="00FF4A61" w:rsidP="00284A47">
            <w:pPr>
              <w:rPr>
                <w:rFonts w:ascii="Times New Roman" w:hAnsi="Times New Roman" w:cs="Times New Roman"/>
                <w:sz w:val="20"/>
                <w:szCs w:val="20"/>
              </w:rPr>
            </w:pPr>
            <w:r>
              <w:rPr>
                <w:rFonts w:ascii="Times New Roman" w:hAnsi="Times New Roman" w:cs="Times New Roman"/>
                <w:sz w:val="20"/>
                <w:szCs w:val="20"/>
              </w:rPr>
              <w:t>kompl</w:t>
            </w:r>
          </w:p>
        </w:tc>
        <w:tc>
          <w:tcPr>
            <w:tcW w:w="997" w:type="dxa"/>
            <w:vAlign w:val="center"/>
          </w:tcPr>
          <w:p w14:paraId="1C2BC10E" w14:textId="428500DF" w:rsidR="00284A47" w:rsidRPr="0090490F" w:rsidRDefault="00FF4A61" w:rsidP="00284A47">
            <w:pPr>
              <w:rPr>
                <w:rFonts w:ascii="Times New Roman" w:hAnsi="Times New Roman" w:cs="Times New Roman"/>
                <w:sz w:val="20"/>
                <w:szCs w:val="20"/>
              </w:rPr>
            </w:pPr>
            <w:r>
              <w:rPr>
                <w:rFonts w:ascii="Times New Roman" w:hAnsi="Times New Roman" w:cs="Times New Roman"/>
                <w:sz w:val="20"/>
                <w:szCs w:val="20"/>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516C" w14:textId="77777777" w:rsidR="00BF1F4F" w:rsidRDefault="00BF1F4F" w:rsidP="00C7623E">
      <w:pPr>
        <w:spacing w:after="0" w:line="240" w:lineRule="auto"/>
      </w:pPr>
      <w:r>
        <w:separator/>
      </w:r>
    </w:p>
  </w:endnote>
  <w:endnote w:type="continuationSeparator" w:id="0">
    <w:p w14:paraId="3D93DA5D" w14:textId="77777777" w:rsidR="00BF1F4F" w:rsidRDefault="00BF1F4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C2B1" w14:textId="77777777" w:rsidR="00BF1F4F" w:rsidRDefault="00BF1F4F" w:rsidP="00C7623E">
      <w:pPr>
        <w:spacing w:after="0" w:line="240" w:lineRule="auto"/>
      </w:pPr>
      <w:r>
        <w:separator/>
      </w:r>
    </w:p>
  </w:footnote>
  <w:footnote w:type="continuationSeparator" w:id="0">
    <w:p w14:paraId="6F0FDDF1" w14:textId="77777777" w:rsidR="00BF1F4F" w:rsidRDefault="00BF1F4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44E62"/>
    <w:rsid w:val="00051340"/>
    <w:rsid w:val="00061336"/>
    <w:rsid w:val="0006171E"/>
    <w:rsid w:val="00063EE3"/>
    <w:rsid w:val="00076D6F"/>
    <w:rsid w:val="000B7986"/>
    <w:rsid w:val="000C4B36"/>
    <w:rsid w:val="000D00DE"/>
    <w:rsid w:val="000D111E"/>
    <w:rsid w:val="000D22D6"/>
    <w:rsid w:val="000E1E4F"/>
    <w:rsid w:val="000E5818"/>
    <w:rsid w:val="000E5A4B"/>
    <w:rsid w:val="000F1A36"/>
    <w:rsid w:val="000F53DC"/>
    <w:rsid w:val="00130041"/>
    <w:rsid w:val="001466CB"/>
    <w:rsid w:val="001829E6"/>
    <w:rsid w:val="001A1258"/>
    <w:rsid w:val="001C2DE4"/>
    <w:rsid w:val="001F1542"/>
    <w:rsid w:val="001F2DD0"/>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05A6"/>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14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10A0"/>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327F"/>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B7018"/>
    <w:rsid w:val="00BE7EA7"/>
    <w:rsid w:val="00BF1F4F"/>
    <w:rsid w:val="00BF6FC9"/>
    <w:rsid w:val="00C01ABC"/>
    <w:rsid w:val="00C0261D"/>
    <w:rsid w:val="00C031D0"/>
    <w:rsid w:val="00C1194B"/>
    <w:rsid w:val="00C15EBA"/>
    <w:rsid w:val="00C35FD3"/>
    <w:rsid w:val="00C556A2"/>
    <w:rsid w:val="00C70B88"/>
    <w:rsid w:val="00C7623E"/>
    <w:rsid w:val="00C76ACA"/>
    <w:rsid w:val="00C83C83"/>
    <w:rsid w:val="00CA6639"/>
    <w:rsid w:val="00CC39A8"/>
    <w:rsid w:val="00CD776B"/>
    <w:rsid w:val="00CE26B7"/>
    <w:rsid w:val="00CF1E46"/>
    <w:rsid w:val="00D112B6"/>
    <w:rsid w:val="00D62BEB"/>
    <w:rsid w:val="00D751FC"/>
    <w:rsid w:val="00DB704F"/>
    <w:rsid w:val="00DD7962"/>
    <w:rsid w:val="00DE1B43"/>
    <w:rsid w:val="00DE27C1"/>
    <w:rsid w:val="00DE6E25"/>
    <w:rsid w:val="00E042C0"/>
    <w:rsid w:val="00E073EC"/>
    <w:rsid w:val="00E11F08"/>
    <w:rsid w:val="00E431B4"/>
    <w:rsid w:val="00E523DC"/>
    <w:rsid w:val="00E52E07"/>
    <w:rsid w:val="00E54645"/>
    <w:rsid w:val="00E64A62"/>
    <w:rsid w:val="00E778D2"/>
    <w:rsid w:val="00E84E49"/>
    <w:rsid w:val="00E870F4"/>
    <w:rsid w:val="00E9330F"/>
    <w:rsid w:val="00EA08A2"/>
    <w:rsid w:val="00EC34BC"/>
    <w:rsid w:val="00ED332C"/>
    <w:rsid w:val="00EE0ABC"/>
    <w:rsid w:val="00EF4CE0"/>
    <w:rsid w:val="00F006D8"/>
    <w:rsid w:val="00F17468"/>
    <w:rsid w:val="00F51383"/>
    <w:rsid w:val="00F51D7F"/>
    <w:rsid w:val="00F55990"/>
    <w:rsid w:val="00F70B39"/>
    <w:rsid w:val="00FA1FBA"/>
    <w:rsid w:val="00FC07E2"/>
    <w:rsid w:val="00FC62B9"/>
    <w:rsid w:val="00FD282D"/>
    <w:rsid w:val="00FF0849"/>
    <w:rsid w:val="00FF2C62"/>
    <w:rsid w:val="00FF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4733</Words>
  <Characters>2698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46</cp:revision>
  <dcterms:created xsi:type="dcterms:W3CDTF">2024-01-16T13:20:00Z</dcterms:created>
  <dcterms:modified xsi:type="dcterms:W3CDTF">2026-04-10T09:52:00Z</dcterms:modified>
</cp:coreProperties>
</file>