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220A" w14:textId="662586D0" w:rsidR="00A91EB4" w:rsidRPr="00910D04" w:rsidRDefault="00910D04" w:rsidP="00A91EB4">
      <w:pPr>
        <w:pBdr>
          <w:bottom w:val="single" w:sz="4" w:space="1" w:color="E97132" w:themeColor="accent2"/>
        </w:pBdr>
        <w:suppressAutoHyphens/>
        <w:spacing w:after="120"/>
        <w:ind w:left="284"/>
        <w:jc w:val="right"/>
        <w:rPr>
          <w:rFonts w:ascii="Times New Roman" w:eastAsia="Times New Roman" w:hAnsi="Times New Roman" w:cs="Times New Roman"/>
          <w:bCs/>
          <w:i/>
          <w:iCs/>
          <w:color w:val="000000"/>
          <w:lang w:val="lt-LT" w:eastAsia="zh-CN"/>
        </w:rPr>
      </w:pPr>
      <w:r w:rsidRPr="00910D04">
        <w:rPr>
          <w:rFonts w:ascii="Times New Roman" w:eastAsiaTheme="majorEastAsia" w:hAnsi="Times New Roman" w:cs="Times New Roman"/>
          <w:bCs/>
          <w:i/>
          <w:iCs/>
          <w:lang w:val="lt-LT" w:eastAsia="lt-LT"/>
        </w:rPr>
        <w:t>Rinkos konsultacijos priedas Nr. 1</w:t>
      </w:r>
    </w:p>
    <w:p w14:paraId="65A3CD6C" w14:textId="77777777" w:rsidR="00F9638F" w:rsidRPr="00071F5A" w:rsidRDefault="00F9638F" w:rsidP="00F9638F">
      <w:pPr>
        <w:spacing w:after="0"/>
        <w:jc w:val="center"/>
        <w:rPr>
          <w:rFonts w:ascii="Times New Roman" w:hAnsi="Times New Roman" w:cs="Times New Roman"/>
          <w:b/>
          <w:bCs/>
          <w:sz w:val="28"/>
          <w:szCs w:val="28"/>
          <w:lang w:val="lt-LT"/>
        </w:rPr>
      </w:pPr>
    </w:p>
    <w:p w14:paraId="6B893425" w14:textId="6D07F736" w:rsidR="00F058BB" w:rsidRPr="00071F5A" w:rsidRDefault="00F058BB" w:rsidP="00F9638F">
      <w:pPr>
        <w:spacing w:after="0"/>
        <w:jc w:val="center"/>
        <w:rPr>
          <w:rFonts w:ascii="Times New Roman" w:hAnsi="Times New Roman" w:cs="Times New Roman"/>
          <w:b/>
          <w:bCs/>
          <w:sz w:val="28"/>
          <w:szCs w:val="28"/>
          <w:lang w:val="lt-LT"/>
        </w:rPr>
      </w:pPr>
      <w:r w:rsidRPr="00071F5A">
        <w:rPr>
          <w:rFonts w:ascii="Times New Roman" w:hAnsi="Times New Roman" w:cs="Times New Roman"/>
          <w:b/>
          <w:bCs/>
          <w:sz w:val="28"/>
          <w:szCs w:val="28"/>
          <w:lang w:val="lt-LT"/>
        </w:rPr>
        <w:t>STALINIS SKENUOJANTIS ELEKTRONINIS MIKROSKOPAS</w:t>
      </w:r>
    </w:p>
    <w:p w14:paraId="2DCCF2CC" w14:textId="77777777" w:rsidR="009D7B72" w:rsidRPr="00071F5A" w:rsidRDefault="00CD5623">
      <w:pPr>
        <w:jc w:val="center"/>
        <w:rPr>
          <w:rFonts w:ascii="Times New Roman" w:hAnsi="Times New Roman" w:cs="Times New Roman"/>
          <w:b/>
          <w:color w:val="000000" w:themeColor="text1"/>
          <w:sz w:val="20"/>
          <w:szCs w:val="20"/>
          <w:lang w:val="lt-LT"/>
        </w:rPr>
      </w:pPr>
      <w:r w:rsidRPr="00071F5A">
        <w:rPr>
          <w:rFonts w:ascii="Times New Roman" w:hAnsi="Times New Roman" w:cs="Times New Roman"/>
          <w:b/>
          <w:color w:val="000000" w:themeColor="text1"/>
          <w:sz w:val="20"/>
          <w:szCs w:val="20"/>
          <w:lang w:val="lt-LT"/>
        </w:rPr>
        <w:t>BENDRIEJI REIKALAVIMAI</w:t>
      </w:r>
    </w:p>
    <w:p w14:paraId="1E6187A9" w14:textId="02EE4EF8" w:rsidR="001D7507" w:rsidRPr="00071F5A" w:rsidRDefault="00CD5623" w:rsidP="001D7507">
      <w:pPr>
        <w:spacing w:after="0" w:line="240" w:lineRule="auto"/>
        <w:ind w:firstLine="567"/>
        <w:jc w:val="both"/>
        <w:rPr>
          <w:rFonts w:ascii="Times New Roman" w:hAnsi="Times New Roman" w:cs="Times New Roman"/>
          <w:lang w:val="lt-LT"/>
        </w:rPr>
      </w:pPr>
      <w:r w:rsidRPr="00071F5A">
        <w:rPr>
          <w:rFonts w:ascii="Times New Roman" w:hAnsi="Times New Roman" w:cs="Times New Roman"/>
          <w:lang w:val="lt-LT"/>
        </w:rPr>
        <w:t>Kauno technologijos universitetas</w:t>
      </w:r>
      <w:r w:rsidR="00D3188B" w:rsidRPr="00071F5A">
        <w:rPr>
          <w:rFonts w:ascii="Times New Roman" w:hAnsi="Times New Roman" w:cs="Times New Roman"/>
          <w:lang w:val="lt-LT"/>
        </w:rPr>
        <w:t xml:space="preserve"> </w:t>
      </w:r>
      <w:r w:rsidR="00F24D06" w:rsidRPr="00071F5A">
        <w:rPr>
          <w:rFonts w:ascii="Times New Roman" w:hAnsi="Times New Roman" w:cs="Times New Roman"/>
          <w:lang w:val="lt-LT"/>
        </w:rPr>
        <w:t xml:space="preserve">(toliau – KTU/perkančioji organizacija/pirkėjas) </w:t>
      </w:r>
      <w:r w:rsidRPr="00071F5A">
        <w:rPr>
          <w:rFonts w:ascii="Times New Roman" w:hAnsi="Times New Roman" w:cs="Times New Roman"/>
          <w:lang w:val="lt-LT"/>
        </w:rPr>
        <w:t>įgyvendina</w:t>
      </w:r>
      <w:r w:rsidR="00142F99" w:rsidRPr="00071F5A">
        <w:rPr>
          <w:rFonts w:ascii="Times New Roman" w:hAnsi="Times New Roman" w:cs="Times New Roman"/>
          <w:lang w:val="lt-LT"/>
        </w:rPr>
        <w:t xml:space="preserve"> </w:t>
      </w:r>
      <w:r w:rsidR="00142F99" w:rsidRPr="00071F5A">
        <w:rPr>
          <w:rFonts w:ascii="Times New Roman" w:hAnsi="Times New Roman" w:cs="Times New Roman"/>
          <w:color w:val="000000" w:themeColor="text1"/>
          <w:lang w:val="lt-LT"/>
        </w:rPr>
        <w:t>CPVA kvietimo Nr. 10-093-K „Parama laboratorijų įrangai ir MTEP infrastruktūrai atnaujinti“ projektą „</w:t>
      </w:r>
      <w:r w:rsidR="00E1101E" w:rsidRPr="00071F5A">
        <w:rPr>
          <w:rFonts w:ascii="Times New Roman" w:hAnsi="Times New Roman" w:cs="Times New Roman"/>
          <w:lang w:val="lt-LT"/>
        </w:rPr>
        <w:t>Laboratorinės MTEP bazės atnaujinimas aplinkos inžinerijos ir nanotechnologijų tyrimams, įsigyjant skenuojantį elektroninį mikroskopą</w:t>
      </w:r>
      <w:r w:rsidR="00142F99" w:rsidRPr="00071F5A">
        <w:rPr>
          <w:rFonts w:ascii="Times New Roman" w:hAnsi="Times New Roman" w:cs="Times New Roman"/>
          <w:color w:val="000000" w:themeColor="text1"/>
          <w:lang w:val="lt-LT"/>
        </w:rPr>
        <w:t>“, projekto kodas</w:t>
      </w:r>
      <w:r w:rsidR="003D7050" w:rsidRPr="00071F5A">
        <w:rPr>
          <w:rFonts w:ascii="Times New Roman" w:hAnsi="Times New Roman" w:cs="Times New Roman"/>
          <w:color w:val="000000" w:themeColor="text1"/>
          <w:lang w:val="lt-LT"/>
        </w:rPr>
        <w:t xml:space="preserve"> </w:t>
      </w:r>
      <w:r w:rsidR="00142F99" w:rsidRPr="00071F5A">
        <w:rPr>
          <w:rFonts w:ascii="Times New Roman" w:hAnsi="Times New Roman" w:cs="Times New Roman"/>
          <w:color w:val="000000" w:themeColor="text1"/>
          <w:lang w:val="lt-LT"/>
        </w:rPr>
        <w:t>10-093-K-0</w:t>
      </w:r>
      <w:r w:rsidR="00491BDE" w:rsidRPr="00071F5A">
        <w:rPr>
          <w:rFonts w:ascii="Times New Roman" w:hAnsi="Times New Roman" w:cs="Times New Roman"/>
          <w:color w:val="000000" w:themeColor="text1"/>
          <w:lang w:val="lt-LT"/>
        </w:rPr>
        <w:t>066 ir</w:t>
      </w:r>
      <w:r w:rsidR="00142F99" w:rsidRPr="00071F5A">
        <w:rPr>
          <w:rFonts w:ascii="Times New Roman" w:hAnsi="Times New Roman" w:cs="Times New Roman"/>
          <w:color w:val="000000" w:themeColor="text1"/>
          <w:lang w:val="lt-LT"/>
        </w:rPr>
        <w:t xml:space="preserve"> numato įsigyti pirkimo objektą – </w:t>
      </w:r>
      <w:r w:rsidR="00491BDE" w:rsidRPr="00071F5A">
        <w:rPr>
          <w:rFonts w:ascii="Times New Roman" w:hAnsi="Times New Roman" w:cs="Times New Roman"/>
          <w:lang w:val="lt-LT"/>
        </w:rPr>
        <w:t>Stalin</w:t>
      </w:r>
      <w:r w:rsidR="003D7050" w:rsidRPr="00071F5A">
        <w:rPr>
          <w:rFonts w:ascii="Times New Roman" w:hAnsi="Times New Roman" w:cs="Times New Roman"/>
          <w:lang w:val="lt-LT"/>
        </w:rPr>
        <w:t>į</w:t>
      </w:r>
      <w:r w:rsidR="00491BDE" w:rsidRPr="00071F5A">
        <w:rPr>
          <w:rFonts w:ascii="Times New Roman" w:hAnsi="Times New Roman" w:cs="Times New Roman"/>
          <w:lang w:val="lt-LT"/>
        </w:rPr>
        <w:t xml:space="preserve"> skenuojant</w:t>
      </w:r>
      <w:r w:rsidR="003D7050" w:rsidRPr="00071F5A">
        <w:rPr>
          <w:rFonts w:ascii="Times New Roman" w:hAnsi="Times New Roman" w:cs="Times New Roman"/>
          <w:lang w:val="lt-LT"/>
        </w:rPr>
        <w:t>į</w:t>
      </w:r>
      <w:r w:rsidR="00491BDE" w:rsidRPr="00071F5A">
        <w:rPr>
          <w:rFonts w:ascii="Times New Roman" w:hAnsi="Times New Roman" w:cs="Times New Roman"/>
          <w:lang w:val="lt-LT"/>
        </w:rPr>
        <w:t xml:space="preserve"> elektronin</w:t>
      </w:r>
      <w:r w:rsidR="003D7050" w:rsidRPr="00071F5A">
        <w:rPr>
          <w:rFonts w:ascii="Times New Roman" w:hAnsi="Times New Roman" w:cs="Times New Roman"/>
          <w:lang w:val="lt-LT"/>
        </w:rPr>
        <w:t>į</w:t>
      </w:r>
      <w:r w:rsidR="00491BDE" w:rsidRPr="00071F5A">
        <w:rPr>
          <w:rFonts w:ascii="Times New Roman" w:hAnsi="Times New Roman" w:cs="Times New Roman"/>
          <w:lang w:val="lt-LT"/>
        </w:rPr>
        <w:t xml:space="preserve"> mikroskop</w:t>
      </w:r>
      <w:r w:rsidR="003D7050" w:rsidRPr="00071F5A">
        <w:rPr>
          <w:rFonts w:ascii="Times New Roman" w:hAnsi="Times New Roman" w:cs="Times New Roman"/>
          <w:lang w:val="lt-LT"/>
        </w:rPr>
        <w:t>ą</w:t>
      </w:r>
      <w:r w:rsidR="00491BDE" w:rsidRPr="00071F5A">
        <w:rPr>
          <w:rFonts w:ascii="Times New Roman" w:hAnsi="Times New Roman" w:cs="Times New Roman"/>
          <w:lang w:val="lt-LT"/>
        </w:rPr>
        <w:t xml:space="preserve"> (toliau – prekė/įranga)</w:t>
      </w:r>
      <w:r w:rsidR="001D7507" w:rsidRPr="00071F5A">
        <w:rPr>
          <w:rFonts w:ascii="Times New Roman" w:hAnsi="Times New Roman" w:cs="Times New Roman"/>
          <w:lang w:val="lt-LT"/>
        </w:rPr>
        <w:t>.</w:t>
      </w:r>
    </w:p>
    <w:p w14:paraId="70473F0A" w14:textId="4FE1A41B" w:rsidR="002717C2" w:rsidRPr="001B2CD5" w:rsidRDefault="002717C2" w:rsidP="001D7507">
      <w:pPr>
        <w:spacing w:after="0" w:line="240" w:lineRule="auto"/>
        <w:ind w:firstLine="567"/>
        <w:jc w:val="both"/>
        <w:rPr>
          <w:rFonts w:ascii="Times New Roman" w:hAnsi="Times New Roman" w:cs="Times New Roman"/>
          <w:b/>
          <w:bCs/>
          <w:color w:val="000000" w:themeColor="text1"/>
          <w:lang w:val="lt-LT"/>
        </w:rPr>
      </w:pPr>
      <w:r w:rsidRPr="00071F5A">
        <w:rPr>
          <w:rFonts w:ascii="Times New Roman" w:hAnsi="Times New Roman" w:cs="Times New Roman"/>
          <w:color w:val="000000" w:themeColor="text1"/>
          <w:lang w:val="lt-LT"/>
        </w:rPr>
        <w:t xml:space="preserve">Pirkimo objekto pagrindinis kodas pagal Bendrą viešųjų pirkimų žodyną: </w:t>
      </w:r>
      <w:r w:rsidRPr="001B2CD5">
        <w:rPr>
          <w:rFonts w:ascii="Times New Roman" w:hAnsi="Times New Roman" w:cs="Times New Roman"/>
          <w:b/>
          <w:bCs/>
          <w:color w:val="000000" w:themeColor="text1"/>
          <w:lang w:val="lt-LT"/>
        </w:rPr>
        <w:t>38</w:t>
      </w:r>
      <w:r w:rsidR="00297D8A" w:rsidRPr="001B2CD5">
        <w:rPr>
          <w:rFonts w:ascii="Times New Roman" w:hAnsi="Times New Roman" w:cs="Times New Roman"/>
          <w:b/>
          <w:bCs/>
          <w:color w:val="000000" w:themeColor="text1"/>
          <w:lang w:val="lt-LT"/>
        </w:rPr>
        <w:t>511000-0</w:t>
      </w:r>
      <w:r w:rsidRPr="001B2CD5">
        <w:rPr>
          <w:rFonts w:ascii="Times New Roman" w:hAnsi="Times New Roman" w:cs="Times New Roman"/>
          <w:b/>
          <w:bCs/>
          <w:color w:val="000000" w:themeColor="text1"/>
          <w:lang w:val="lt-LT"/>
        </w:rPr>
        <w:t xml:space="preserve"> </w:t>
      </w:r>
      <w:r w:rsidR="0083154A" w:rsidRPr="001B2CD5">
        <w:rPr>
          <w:rFonts w:ascii="Times New Roman" w:hAnsi="Times New Roman" w:cs="Times New Roman"/>
          <w:b/>
          <w:bCs/>
          <w:color w:val="000000" w:themeColor="text1"/>
          <w:lang w:val="lt-LT"/>
        </w:rPr>
        <w:t>–</w:t>
      </w:r>
      <w:r w:rsidRPr="001B2CD5">
        <w:rPr>
          <w:rFonts w:ascii="Times New Roman" w:hAnsi="Times New Roman" w:cs="Times New Roman"/>
          <w:b/>
          <w:bCs/>
          <w:color w:val="000000" w:themeColor="text1"/>
          <w:lang w:val="lt-LT"/>
        </w:rPr>
        <w:t xml:space="preserve"> </w:t>
      </w:r>
      <w:r w:rsidR="0083154A" w:rsidRPr="001B2CD5">
        <w:rPr>
          <w:rFonts w:ascii="Times New Roman" w:hAnsi="Times New Roman" w:cs="Times New Roman"/>
          <w:b/>
          <w:bCs/>
          <w:color w:val="000000" w:themeColor="text1"/>
          <w:lang w:val="lt-LT"/>
        </w:rPr>
        <w:t>Elektroniniai mikroskopai</w:t>
      </w:r>
      <w:r w:rsidRPr="001B2CD5">
        <w:rPr>
          <w:rFonts w:ascii="Times New Roman" w:hAnsi="Times New Roman" w:cs="Times New Roman"/>
          <w:b/>
          <w:bCs/>
          <w:color w:val="000000" w:themeColor="text1"/>
          <w:lang w:val="lt-LT"/>
        </w:rPr>
        <w:t xml:space="preserve">. </w:t>
      </w:r>
    </w:p>
    <w:p w14:paraId="403F5181" w14:textId="77777777" w:rsidR="00F14BF1" w:rsidRPr="00071F5A" w:rsidRDefault="00F14BF1" w:rsidP="00F14BF1">
      <w:pPr>
        <w:tabs>
          <w:tab w:val="left" w:pos="426"/>
        </w:tabs>
        <w:spacing w:after="0" w:line="240" w:lineRule="auto"/>
        <w:ind w:firstLine="567"/>
        <w:jc w:val="both"/>
        <w:rPr>
          <w:rFonts w:ascii="Times New Roman" w:hAnsi="Times New Roman" w:cs="Times New Roman"/>
          <w:color w:val="000000" w:themeColor="text1"/>
          <w:lang w:val="lt-LT"/>
        </w:rPr>
      </w:pPr>
      <w:r w:rsidRPr="00071F5A">
        <w:rPr>
          <w:rFonts w:ascii="Times New Roman" w:hAnsi="Times New Roman" w:cs="Times New Roman"/>
          <w:color w:val="000000" w:themeColor="text1"/>
          <w:lang w:val="lt-LT"/>
        </w:rPr>
        <w:t xml:space="preserve">Pirkimo objektas į dalis neskaidomas. Techniniai argumentai dėl pirkimo objekto neskaidymo: Perkama SEM sistema su EDS ir specializuotais programinės įrangos paketais sudaro techniškai neatsiejamą, vieningai valdomą ir tarpusavyje sinchroniškai veikiančią visumą, kurioje elektronų pluošto valdymas, vaizdo formavimas, EDS signalų kaupimas, žemo vakuumo režimo parametrų valdymas, optinės navigacijos </w:t>
      </w:r>
      <w:proofErr w:type="spellStart"/>
      <w:r w:rsidRPr="00071F5A">
        <w:rPr>
          <w:rFonts w:ascii="Times New Roman" w:hAnsi="Times New Roman" w:cs="Times New Roman"/>
          <w:color w:val="000000" w:themeColor="text1"/>
          <w:lang w:val="lt-LT"/>
        </w:rPr>
        <w:t>kalibracija</w:t>
      </w:r>
      <w:proofErr w:type="spellEnd"/>
      <w:r w:rsidRPr="00071F5A">
        <w:rPr>
          <w:rFonts w:ascii="Times New Roman" w:hAnsi="Times New Roman" w:cs="Times New Roman"/>
          <w:color w:val="000000" w:themeColor="text1"/>
          <w:lang w:val="lt-LT"/>
        </w:rPr>
        <w:t xml:space="preserve"> ir duomenų analizė vyksta realiu laiku per gamintojo integruotą aparatinę ir programinę aplinką, naudojančią patentuotus ryšio protokolus bei konkrečiai platformai pritaikytus programinius modulius; dėl šios priežasties skirtingų tiekėjų aparatinės ir programinės dalių derinimas neužtikrintų pilno suderinamumo, stabilaus veikimo, vieningos garantinės atsakomybės ir patikimo techninio palaikymo. Rinkoje nėra universalių nepriklausomų </w:t>
      </w:r>
      <w:proofErr w:type="spellStart"/>
      <w:r w:rsidRPr="00071F5A">
        <w:rPr>
          <w:rFonts w:ascii="Times New Roman" w:hAnsi="Times New Roman" w:cs="Times New Roman"/>
          <w:color w:val="000000" w:themeColor="text1"/>
          <w:lang w:val="lt-LT"/>
        </w:rPr>
        <w:t>integratorių</w:t>
      </w:r>
      <w:proofErr w:type="spellEnd"/>
      <w:r w:rsidRPr="00071F5A">
        <w:rPr>
          <w:rFonts w:ascii="Times New Roman" w:hAnsi="Times New Roman" w:cs="Times New Roman"/>
          <w:color w:val="000000" w:themeColor="text1"/>
          <w:lang w:val="lt-LT"/>
        </w:rPr>
        <w:t xml:space="preserve">, galinčių sujungti skirtingų gamintojų SEM, EDS ir analitinius programinius paketus į vieną pilnai funkcionalią, garantuojamą ir palaikomą sistemą, o pirkimo suskaidymas faktiškai perkeltų integravimo, suderinamumo, kalibravimo, gedimų diagnostikos, programinių atnaujinimų suderinimo ir atsakomybės paskirstymo riziką perkančiajai organizacijai. Be to, toks modelis būtų ekonomiškai netikslingas, nes atskirai perkami komponentai paprastai kainuoja brangiau nei integruotas gamintojo sprendimas, atsirastų papildomos diegimo ir suderinimo išlaidos, didėtų administracinė našta bei ilgalaikė eksploatavimo rizika, todėl siekiant užtikrinti optimalų sistemos funkcionalumą, rezultatų patikimumą, </w:t>
      </w:r>
      <w:proofErr w:type="spellStart"/>
      <w:r w:rsidRPr="00071F5A">
        <w:rPr>
          <w:rFonts w:ascii="Times New Roman" w:hAnsi="Times New Roman" w:cs="Times New Roman"/>
          <w:color w:val="000000" w:themeColor="text1"/>
          <w:lang w:val="lt-LT"/>
        </w:rPr>
        <w:t>atkartojamumą</w:t>
      </w:r>
      <w:proofErr w:type="spellEnd"/>
      <w:r w:rsidRPr="00071F5A">
        <w:rPr>
          <w:rFonts w:ascii="Times New Roman" w:hAnsi="Times New Roman" w:cs="Times New Roman"/>
          <w:color w:val="000000" w:themeColor="text1"/>
          <w:lang w:val="lt-LT"/>
        </w:rPr>
        <w:t>, aiškią garantinę atsakomybę ir efektyvų lėšų panaudojimą, įranga ir programinė įranga turi būti perkamos kartu kaip vienas nedalomas pirkimo objektas.</w:t>
      </w:r>
    </w:p>
    <w:p w14:paraId="016BCA81" w14:textId="1D50577D" w:rsidR="009D7B72" w:rsidRPr="001B2CD5" w:rsidRDefault="00CD5623" w:rsidP="00DA433C">
      <w:pPr>
        <w:tabs>
          <w:tab w:val="left" w:pos="426"/>
        </w:tabs>
        <w:spacing w:after="0" w:line="240" w:lineRule="auto"/>
        <w:ind w:firstLine="567"/>
        <w:jc w:val="both"/>
        <w:rPr>
          <w:rFonts w:ascii="Times New Roman" w:hAnsi="Times New Roman" w:cs="Times New Roman"/>
          <w:b/>
          <w:bCs/>
          <w:color w:val="000000" w:themeColor="text1"/>
          <w:lang w:val="lt-LT"/>
        </w:rPr>
      </w:pPr>
      <w:r w:rsidRPr="00071F5A">
        <w:rPr>
          <w:rFonts w:ascii="Times New Roman" w:hAnsi="Times New Roman" w:cs="Times New Roman"/>
          <w:lang w:val="lt-LT"/>
        </w:rPr>
        <w:t xml:space="preserve">Maksimali pirkimui skirtų lėšų suma – </w:t>
      </w:r>
      <w:r w:rsidR="00B531CE" w:rsidRPr="001B2CD5">
        <w:rPr>
          <w:rFonts w:ascii="Times New Roman" w:hAnsi="Times New Roman" w:cs="Times New Roman"/>
          <w:b/>
          <w:bCs/>
          <w:lang w:val="lt-LT"/>
        </w:rPr>
        <w:t>158</w:t>
      </w:r>
      <w:r w:rsidR="0012690B" w:rsidRPr="001B2CD5">
        <w:rPr>
          <w:rFonts w:ascii="Times New Roman" w:hAnsi="Times New Roman" w:cs="Times New Roman"/>
          <w:b/>
          <w:bCs/>
          <w:lang w:val="lt-LT"/>
        </w:rPr>
        <w:t> </w:t>
      </w:r>
      <w:r w:rsidR="00B531CE" w:rsidRPr="001B2CD5">
        <w:rPr>
          <w:rFonts w:ascii="Times New Roman" w:hAnsi="Times New Roman" w:cs="Times New Roman"/>
          <w:b/>
          <w:bCs/>
          <w:lang w:val="lt-LT"/>
        </w:rPr>
        <w:t>850</w:t>
      </w:r>
      <w:r w:rsidR="0012690B" w:rsidRPr="001B2CD5">
        <w:rPr>
          <w:rFonts w:ascii="Times New Roman" w:hAnsi="Times New Roman" w:cs="Times New Roman"/>
          <w:b/>
          <w:bCs/>
          <w:lang w:val="lt-LT"/>
        </w:rPr>
        <w:t>,00</w:t>
      </w:r>
      <w:r w:rsidR="00B531CE" w:rsidRPr="001B2CD5">
        <w:rPr>
          <w:rFonts w:ascii="Times New Roman" w:hAnsi="Times New Roman" w:cs="Times New Roman"/>
          <w:b/>
          <w:bCs/>
          <w:lang w:val="lt-LT"/>
        </w:rPr>
        <w:t xml:space="preserve"> </w:t>
      </w:r>
      <w:r w:rsidRPr="001B2CD5">
        <w:rPr>
          <w:rFonts w:ascii="Times New Roman" w:hAnsi="Times New Roman" w:cs="Times New Roman"/>
          <w:b/>
          <w:bCs/>
          <w:lang w:val="lt-LT"/>
        </w:rPr>
        <w:t xml:space="preserve">EUR </w:t>
      </w:r>
      <w:r w:rsidR="00B531CE" w:rsidRPr="001B2CD5">
        <w:rPr>
          <w:rFonts w:ascii="Times New Roman" w:hAnsi="Times New Roman" w:cs="Times New Roman"/>
          <w:b/>
          <w:bCs/>
          <w:lang w:val="lt-LT"/>
        </w:rPr>
        <w:t>be</w:t>
      </w:r>
      <w:r w:rsidRPr="001B2CD5">
        <w:rPr>
          <w:rFonts w:ascii="Times New Roman" w:hAnsi="Times New Roman" w:cs="Times New Roman"/>
          <w:b/>
          <w:bCs/>
          <w:lang w:val="lt-LT"/>
        </w:rPr>
        <w:t xml:space="preserve"> PVM.</w:t>
      </w:r>
    </w:p>
    <w:p w14:paraId="1F44682B" w14:textId="77777777" w:rsidR="009D7B72" w:rsidRPr="00071F5A" w:rsidRDefault="00CD5623" w:rsidP="00DA433C">
      <w:pPr>
        <w:tabs>
          <w:tab w:val="left" w:pos="426"/>
        </w:tabs>
        <w:spacing w:after="0" w:line="240" w:lineRule="auto"/>
        <w:ind w:firstLine="567"/>
        <w:jc w:val="both"/>
        <w:rPr>
          <w:rFonts w:ascii="Times New Roman" w:hAnsi="Times New Roman" w:cs="Times New Roman"/>
          <w:b/>
          <w:color w:val="000000" w:themeColor="text1"/>
          <w:lang w:val="lt-LT"/>
        </w:rPr>
      </w:pPr>
      <w:r w:rsidRPr="00071F5A">
        <w:rPr>
          <w:rFonts w:ascii="Times New Roman" w:hAnsi="Times New Roman" w:cs="Times New Roman"/>
          <w:b/>
          <w:color w:val="000000" w:themeColor="text1"/>
          <w:lang w:val="lt-LT"/>
        </w:rPr>
        <w:t>Šis prekių pirkimas apima:</w:t>
      </w:r>
    </w:p>
    <w:p w14:paraId="1E5D0108" w14:textId="185014A8" w:rsidR="009D7B72" w:rsidRPr="00071F5A" w:rsidRDefault="00B5583E" w:rsidP="00DA433C">
      <w:pPr>
        <w:pStyle w:val="ListParagraph"/>
        <w:numPr>
          <w:ilvl w:val="0"/>
          <w:numId w:val="12"/>
        </w:numPr>
        <w:spacing w:after="0" w:line="240" w:lineRule="auto"/>
        <w:ind w:left="1134" w:hanging="425"/>
        <w:jc w:val="both"/>
        <w:rPr>
          <w:rFonts w:ascii="Times New Roman" w:hAnsi="Times New Roman" w:cs="Times New Roman"/>
          <w:b/>
          <w:lang w:val="lt-LT"/>
        </w:rPr>
      </w:pPr>
      <w:r w:rsidRPr="00071F5A">
        <w:rPr>
          <w:rFonts w:ascii="Times New Roman" w:hAnsi="Times New Roman" w:cs="Times New Roman"/>
          <w:lang w:val="lt-LT"/>
        </w:rPr>
        <w:t>Įrangos, programinės įrangos paketų ir reikalingų priedų pristatymą, sumontavimą, įdiegimą ir paleidimą;</w:t>
      </w:r>
    </w:p>
    <w:p w14:paraId="70FD52DA" w14:textId="39225CC3" w:rsidR="009D7B72" w:rsidRPr="00071F5A" w:rsidRDefault="00B5583E" w:rsidP="00DA433C">
      <w:pPr>
        <w:pStyle w:val="ListParagraph"/>
        <w:numPr>
          <w:ilvl w:val="0"/>
          <w:numId w:val="12"/>
        </w:numPr>
        <w:spacing w:after="0" w:line="240" w:lineRule="auto"/>
        <w:ind w:left="1134" w:hanging="425"/>
        <w:jc w:val="both"/>
        <w:rPr>
          <w:rFonts w:ascii="Times New Roman" w:hAnsi="Times New Roman" w:cs="Times New Roman"/>
          <w:b/>
          <w:lang w:val="lt-LT"/>
        </w:rPr>
      </w:pPr>
      <w:r w:rsidRPr="00071F5A">
        <w:rPr>
          <w:rFonts w:ascii="Times New Roman" w:hAnsi="Times New Roman" w:cs="Times New Roman"/>
          <w:lang w:val="lt-LT"/>
        </w:rPr>
        <w:t>Įrangos išbandymą, jos veikimo ir valdymo funkcijų pademonstravimą bei vartotojų apmokymą.</w:t>
      </w:r>
    </w:p>
    <w:p w14:paraId="41606D91" w14:textId="62447F15" w:rsidR="009D7B72" w:rsidRPr="00071F5A" w:rsidRDefault="00CD5623" w:rsidP="00DA433C">
      <w:pPr>
        <w:tabs>
          <w:tab w:val="left" w:pos="426"/>
        </w:tabs>
        <w:spacing w:after="0" w:line="240" w:lineRule="auto"/>
        <w:ind w:firstLine="567"/>
        <w:jc w:val="both"/>
        <w:rPr>
          <w:rFonts w:ascii="Times New Roman" w:hAnsi="Times New Roman" w:cs="Times New Roman"/>
          <w:color w:val="000000" w:themeColor="text1"/>
          <w:lang w:val="lt-LT"/>
        </w:rPr>
      </w:pPr>
      <w:r w:rsidRPr="00071F5A">
        <w:rPr>
          <w:rFonts w:ascii="Times New Roman" w:hAnsi="Times New Roman" w:cs="Times New Roman"/>
          <w:color w:val="000000" w:themeColor="text1"/>
          <w:lang w:val="lt-LT"/>
        </w:rPr>
        <w:t xml:space="preserve">Į </w:t>
      </w:r>
      <w:r w:rsidR="00CE26D9" w:rsidRPr="00071F5A">
        <w:rPr>
          <w:rFonts w:ascii="Times New Roman" w:hAnsi="Times New Roman" w:cs="Times New Roman"/>
          <w:color w:val="000000" w:themeColor="text1"/>
          <w:lang w:val="lt-LT"/>
        </w:rPr>
        <w:t>p</w:t>
      </w:r>
      <w:r w:rsidRPr="00071F5A">
        <w:rPr>
          <w:rFonts w:ascii="Times New Roman" w:hAnsi="Times New Roman" w:cs="Times New Roman"/>
          <w:color w:val="000000" w:themeColor="text1"/>
          <w:lang w:val="lt-LT"/>
        </w:rPr>
        <w:t>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2B58395B" w14:textId="77777777" w:rsidR="009D7B72" w:rsidRPr="00071F5A" w:rsidRDefault="00CD5623" w:rsidP="005B7484">
      <w:pPr>
        <w:spacing w:after="0" w:line="240" w:lineRule="auto"/>
        <w:ind w:firstLine="567"/>
        <w:jc w:val="both"/>
        <w:rPr>
          <w:rFonts w:ascii="Times New Roman" w:hAnsi="Times New Roman" w:cs="Times New Roman"/>
          <w:lang w:val="lt-LT"/>
        </w:rPr>
      </w:pPr>
      <w:r w:rsidRPr="00071F5A">
        <w:rPr>
          <w:rFonts w:ascii="Times New Roman" w:hAnsi="Times New Roman" w:cs="Times New Roman"/>
          <w:lang w:val="lt-LT"/>
        </w:rPr>
        <w:t>Prekės turi būti pristatytos tiekėjo transportu, sumontuotos bei instaliuotos Kauno technologijos universiteto patalpose, Radvilėnų pl. 19, Kaune arba kitame atsakingo už sutarties vykdymą KTU darbuotojų nurodytame KTU padalinyje Kaune.</w:t>
      </w:r>
    </w:p>
    <w:p w14:paraId="5CD0FAD7" w14:textId="3685E34D" w:rsidR="00307468" w:rsidRPr="00071F5A" w:rsidRDefault="00307468" w:rsidP="005B7484">
      <w:pPr>
        <w:spacing w:after="0" w:line="240" w:lineRule="auto"/>
        <w:ind w:firstLine="567"/>
        <w:jc w:val="both"/>
        <w:rPr>
          <w:rFonts w:ascii="Times New Roman" w:hAnsi="Times New Roman" w:cs="Times New Roman"/>
          <w:bCs/>
          <w:color w:val="000000" w:themeColor="text1"/>
          <w:lang w:val="lt-LT"/>
        </w:rPr>
      </w:pPr>
      <w:r w:rsidRPr="00071F5A">
        <w:rPr>
          <w:rFonts w:ascii="Times New Roman" w:hAnsi="Times New Roman" w:cs="Times New Roman"/>
          <w:bCs/>
          <w:color w:val="000000" w:themeColor="text1"/>
          <w:lang w:val="lt-LT"/>
        </w:rPr>
        <w:t>Prekės turi turėti CE ženklinimą. Tiekėjas prekės pristatymo metu privalo pateikti CE ženklinimą patvirtinančius dokumentus</w:t>
      </w:r>
      <w:r w:rsidR="00B0163C" w:rsidRPr="00071F5A">
        <w:rPr>
          <w:rFonts w:ascii="Times New Roman" w:hAnsi="Times New Roman" w:cs="Times New Roman"/>
          <w:bCs/>
          <w:color w:val="000000" w:themeColor="text1"/>
          <w:lang w:val="lt-LT"/>
        </w:rPr>
        <w:t xml:space="preserve"> (</w:t>
      </w:r>
      <w:r w:rsidRPr="00071F5A">
        <w:rPr>
          <w:rFonts w:ascii="Times New Roman" w:hAnsi="Times New Roman" w:cs="Times New Roman"/>
          <w:bCs/>
          <w:color w:val="000000" w:themeColor="text1"/>
          <w:lang w:val="lt-LT"/>
        </w:rPr>
        <w:t>ES atitikties deklaracij</w:t>
      </w:r>
      <w:r w:rsidR="00274B8D" w:rsidRPr="00071F5A">
        <w:rPr>
          <w:rFonts w:ascii="Times New Roman" w:hAnsi="Times New Roman" w:cs="Times New Roman"/>
          <w:bCs/>
          <w:color w:val="000000" w:themeColor="text1"/>
          <w:lang w:val="lt-LT"/>
        </w:rPr>
        <w:t>a</w:t>
      </w:r>
      <w:r w:rsidRPr="00071F5A">
        <w:rPr>
          <w:rFonts w:ascii="Times New Roman" w:hAnsi="Times New Roman" w:cs="Times New Roman"/>
          <w:bCs/>
          <w:color w:val="000000" w:themeColor="text1"/>
          <w:lang w:val="lt-LT"/>
        </w:rPr>
        <w:t>,</w:t>
      </w:r>
      <w:r w:rsidR="00274B8D" w:rsidRPr="00071F5A">
        <w:rPr>
          <w:rFonts w:ascii="Times New Roman" w:hAnsi="Times New Roman" w:cs="Times New Roman"/>
          <w:bCs/>
          <w:color w:val="000000" w:themeColor="text1"/>
          <w:lang w:val="lt-LT"/>
        </w:rPr>
        <w:t xml:space="preserve"> </w:t>
      </w:r>
      <w:r w:rsidRPr="00071F5A">
        <w:rPr>
          <w:rFonts w:ascii="Times New Roman" w:hAnsi="Times New Roman" w:cs="Times New Roman"/>
          <w:bCs/>
          <w:color w:val="000000" w:themeColor="text1"/>
          <w:lang w:val="lt-LT"/>
        </w:rPr>
        <w:t>notifikuotos įstaigos išduot</w:t>
      </w:r>
      <w:r w:rsidR="00274B8D" w:rsidRPr="00071F5A">
        <w:rPr>
          <w:rFonts w:ascii="Times New Roman" w:hAnsi="Times New Roman" w:cs="Times New Roman"/>
          <w:bCs/>
          <w:color w:val="000000" w:themeColor="text1"/>
          <w:lang w:val="lt-LT"/>
        </w:rPr>
        <w:t>as</w:t>
      </w:r>
      <w:r w:rsidRPr="00071F5A">
        <w:rPr>
          <w:rFonts w:ascii="Times New Roman" w:hAnsi="Times New Roman" w:cs="Times New Roman"/>
          <w:bCs/>
          <w:color w:val="000000" w:themeColor="text1"/>
          <w:lang w:val="lt-LT"/>
        </w:rPr>
        <w:t xml:space="preserve"> sertifikat</w:t>
      </w:r>
      <w:r w:rsidR="00274B8D" w:rsidRPr="00071F5A">
        <w:rPr>
          <w:rFonts w:ascii="Times New Roman" w:hAnsi="Times New Roman" w:cs="Times New Roman"/>
          <w:bCs/>
          <w:color w:val="000000" w:themeColor="text1"/>
          <w:lang w:val="lt-LT"/>
        </w:rPr>
        <w:t>as</w:t>
      </w:r>
      <w:r w:rsidR="00A100D6" w:rsidRPr="00071F5A">
        <w:rPr>
          <w:rFonts w:ascii="Times New Roman" w:hAnsi="Times New Roman" w:cs="Times New Roman"/>
          <w:bCs/>
          <w:color w:val="000000" w:themeColor="text1"/>
          <w:lang w:val="lt-LT"/>
        </w:rPr>
        <w:t xml:space="preserve"> arba lygiaver</w:t>
      </w:r>
      <w:r w:rsidR="00DD4497" w:rsidRPr="00071F5A">
        <w:rPr>
          <w:rFonts w:ascii="Times New Roman" w:hAnsi="Times New Roman" w:cs="Times New Roman"/>
          <w:bCs/>
          <w:color w:val="000000" w:themeColor="text1"/>
          <w:lang w:val="lt-LT"/>
        </w:rPr>
        <w:t>čius dokumentus</w:t>
      </w:r>
      <w:r w:rsidR="00A67E46" w:rsidRPr="00071F5A">
        <w:rPr>
          <w:rFonts w:ascii="Times New Roman" w:hAnsi="Times New Roman" w:cs="Times New Roman"/>
          <w:bCs/>
          <w:color w:val="000000" w:themeColor="text1"/>
          <w:lang w:val="lt-LT"/>
        </w:rPr>
        <w:t>)</w:t>
      </w:r>
      <w:r w:rsidRPr="00071F5A">
        <w:rPr>
          <w:rFonts w:ascii="Times New Roman" w:hAnsi="Times New Roman" w:cs="Times New Roman"/>
          <w:bCs/>
          <w:color w:val="000000" w:themeColor="text1"/>
          <w:lang w:val="lt-LT"/>
        </w:rPr>
        <w:t>.</w:t>
      </w:r>
    </w:p>
    <w:p w14:paraId="729D1E30" w14:textId="77777777" w:rsidR="009D7B72" w:rsidRPr="00071F5A" w:rsidRDefault="00CD5623" w:rsidP="005B7484">
      <w:pPr>
        <w:spacing w:after="0" w:line="240" w:lineRule="auto"/>
        <w:ind w:firstLine="567"/>
        <w:jc w:val="both"/>
        <w:rPr>
          <w:rFonts w:ascii="Times New Roman" w:hAnsi="Times New Roman" w:cs="Times New Roman"/>
          <w:color w:val="000000" w:themeColor="text1"/>
          <w:lang w:val="lt-LT"/>
        </w:rPr>
      </w:pPr>
      <w:r w:rsidRPr="00071F5A">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109C183E" w14:textId="5E15067C" w:rsidR="009D7B72" w:rsidRPr="00071F5A" w:rsidRDefault="00CD5623" w:rsidP="005B7484">
      <w:pPr>
        <w:spacing w:after="0" w:line="240" w:lineRule="auto"/>
        <w:ind w:firstLine="567"/>
        <w:jc w:val="both"/>
        <w:rPr>
          <w:rFonts w:ascii="Times New Roman" w:hAnsi="Times New Roman" w:cs="Times New Roman"/>
          <w:color w:val="000000" w:themeColor="text1"/>
          <w:lang w:val="lt-LT"/>
        </w:rPr>
      </w:pPr>
      <w:r w:rsidRPr="00071F5A">
        <w:rPr>
          <w:rFonts w:ascii="Times New Roman" w:hAnsi="Times New Roman" w:cs="Times New Roman"/>
          <w:lang w:val="lt-LT"/>
        </w:rPr>
        <w:lastRenderedPageBreak/>
        <w:t xml:space="preserve">Įsigyta įranga bus priimama iš </w:t>
      </w:r>
      <w:r w:rsidR="00E65D88" w:rsidRPr="00071F5A">
        <w:rPr>
          <w:rFonts w:ascii="Times New Roman" w:hAnsi="Times New Roman" w:cs="Times New Roman"/>
          <w:lang w:val="lt-LT"/>
        </w:rPr>
        <w:t>T</w:t>
      </w:r>
      <w:r w:rsidRPr="00071F5A">
        <w:rPr>
          <w:rFonts w:ascii="Times New Roman" w:hAnsi="Times New Roman" w:cs="Times New Roman"/>
          <w:lang w:val="lt-LT"/>
        </w:rPr>
        <w:t>iekėjo tik tada, kai visa įsigyta įranga, įskaitant programinės įrangos modulius, bus visiškai veikianti perkančiosios organizacijos patalpose, išbandyta, pademonstruotas įrangos veikimas ir valdymo funkcionavimas.</w:t>
      </w:r>
    </w:p>
    <w:p w14:paraId="4F5ABF4A" w14:textId="1F7D975C" w:rsidR="009D7B72" w:rsidRPr="00071F5A" w:rsidRDefault="00CD5623" w:rsidP="005B7484">
      <w:pPr>
        <w:spacing w:after="0" w:line="240" w:lineRule="auto"/>
        <w:ind w:firstLine="567"/>
        <w:jc w:val="both"/>
        <w:rPr>
          <w:rFonts w:ascii="Times New Roman" w:hAnsi="Times New Roman" w:cs="Times New Roman"/>
          <w:color w:val="000000" w:themeColor="text1"/>
          <w:lang w:val="lt-LT"/>
        </w:rPr>
      </w:pPr>
      <w:r w:rsidRPr="00071F5A">
        <w:rPr>
          <w:rFonts w:ascii="Times New Roman" w:hAnsi="Times New Roman" w:cs="Times New Roman"/>
          <w:bCs/>
          <w:color w:val="000000" w:themeColor="text1"/>
          <w:lang w:val="lt-LT"/>
        </w:rPr>
        <w:t xml:space="preserve">Sutartyje Tiekėjo numatytų įsipareigojimų atlikimo terminas – </w:t>
      </w:r>
      <w:r w:rsidRPr="00071F5A">
        <w:rPr>
          <w:rFonts w:ascii="Times New Roman" w:hAnsi="Times New Roman" w:cs="Times New Roman"/>
          <w:b/>
          <w:color w:val="000000" w:themeColor="text1"/>
          <w:lang w:val="lt-LT"/>
        </w:rPr>
        <w:t xml:space="preserve">ne vėliau kaip </w:t>
      </w:r>
      <w:r w:rsidR="002C5065" w:rsidRPr="00071F5A">
        <w:rPr>
          <w:rFonts w:ascii="Times New Roman" w:hAnsi="Times New Roman" w:cs="Times New Roman"/>
          <w:b/>
          <w:color w:val="000000" w:themeColor="text1"/>
          <w:lang w:val="lt-LT"/>
        </w:rPr>
        <w:t>iki 2026 m. spalio</w:t>
      </w:r>
      <w:r w:rsidR="009A5067" w:rsidRPr="00071F5A">
        <w:rPr>
          <w:rFonts w:ascii="Times New Roman" w:hAnsi="Times New Roman" w:cs="Times New Roman"/>
          <w:b/>
          <w:color w:val="000000" w:themeColor="text1"/>
          <w:lang w:val="lt-LT"/>
        </w:rPr>
        <w:t xml:space="preserve"> 31 d.</w:t>
      </w:r>
      <w:r w:rsidRPr="00071F5A">
        <w:rPr>
          <w:rFonts w:ascii="Times New Roman" w:hAnsi="Times New Roman" w:cs="Times New Roman"/>
          <w:b/>
          <w:color w:val="000000" w:themeColor="text1"/>
          <w:lang w:val="lt-LT"/>
        </w:rPr>
        <w:t xml:space="preserve"> </w:t>
      </w:r>
      <w:r w:rsidR="00D82738" w:rsidRPr="00071F5A">
        <w:rPr>
          <w:rFonts w:ascii="Times New Roman" w:hAnsi="Times New Roman" w:cs="Times New Roman"/>
          <w:b/>
          <w:color w:val="000000" w:themeColor="text1"/>
          <w:lang w:val="lt-LT"/>
        </w:rPr>
        <w:t xml:space="preserve">su </w:t>
      </w:r>
      <w:r w:rsidR="00EC42B5" w:rsidRPr="00071F5A">
        <w:rPr>
          <w:rFonts w:ascii="Times New Roman" w:hAnsi="Times New Roman" w:cs="Times New Roman"/>
          <w:b/>
          <w:color w:val="000000" w:themeColor="text1"/>
          <w:lang w:val="lt-LT"/>
        </w:rPr>
        <w:t xml:space="preserve">1 (vieno) </w:t>
      </w:r>
      <w:r w:rsidR="009A5067" w:rsidRPr="00071F5A">
        <w:rPr>
          <w:rFonts w:ascii="Times New Roman" w:hAnsi="Times New Roman" w:cs="Times New Roman"/>
          <w:b/>
          <w:color w:val="000000" w:themeColor="text1"/>
          <w:lang w:val="lt-LT"/>
        </w:rPr>
        <w:t>mėnesio</w:t>
      </w:r>
      <w:r w:rsidR="00EC42B5" w:rsidRPr="00071F5A">
        <w:rPr>
          <w:rFonts w:ascii="Times New Roman" w:hAnsi="Times New Roman" w:cs="Times New Roman"/>
          <w:b/>
          <w:color w:val="000000" w:themeColor="text1"/>
          <w:lang w:val="lt-LT"/>
        </w:rPr>
        <w:t xml:space="preserve"> pratęsimo galimybe</w:t>
      </w:r>
      <w:r w:rsidR="00CF4145" w:rsidRPr="00071F5A">
        <w:rPr>
          <w:rFonts w:ascii="Times New Roman" w:hAnsi="Times New Roman" w:cs="Times New Roman"/>
          <w:b/>
          <w:color w:val="000000" w:themeColor="text1"/>
          <w:lang w:val="lt-LT"/>
        </w:rPr>
        <w:t xml:space="preserve"> </w:t>
      </w:r>
      <w:r w:rsidRPr="00071F5A">
        <w:rPr>
          <w:rFonts w:ascii="Times New Roman" w:hAnsi="Times New Roman" w:cs="Times New Roman"/>
          <w:color w:val="000000" w:themeColor="text1"/>
          <w:lang w:val="lt-LT"/>
        </w:rPr>
        <w:t>nuo sutarties įsigaliojimo dienos.</w:t>
      </w:r>
    </w:p>
    <w:p w14:paraId="5086BD51" w14:textId="76FC69CD" w:rsidR="009D7B72" w:rsidRPr="00071F5A" w:rsidRDefault="00CD5623" w:rsidP="005B7484">
      <w:pPr>
        <w:spacing w:after="0" w:line="240" w:lineRule="auto"/>
        <w:ind w:firstLine="567"/>
        <w:jc w:val="both"/>
        <w:rPr>
          <w:rFonts w:ascii="Times New Roman" w:hAnsi="Times New Roman" w:cs="Times New Roman"/>
          <w:color w:val="000000" w:themeColor="text1"/>
          <w:lang w:val="lt-LT"/>
        </w:rPr>
      </w:pPr>
      <w:r w:rsidRPr="00071F5A">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lietuvių ir / ar anglų </w:t>
      </w:r>
      <w:r w:rsidRPr="00071F5A">
        <w:rPr>
          <w:rFonts w:ascii="Times New Roman" w:hAnsi="Times New Roman" w:cs="Times New Roman"/>
          <w:color w:val="000000" w:themeColor="text1"/>
          <w:lang w:val="lt-LT"/>
        </w:rPr>
        <w:t>kalba (nuorodas į gaminio pasą, bukletą, kuriuose Perkančioji organizacija galėtų patikrinti siūlomo gaminio charakteristikas arba pateikti atitinkamos informacijos dokumento skenuotą versiją).</w:t>
      </w:r>
    </w:p>
    <w:p w14:paraId="5C19A2BE" w14:textId="77777777" w:rsidR="009D7B72" w:rsidRPr="00071F5A" w:rsidRDefault="00CD5623" w:rsidP="005B7484">
      <w:pPr>
        <w:spacing w:after="0" w:line="240" w:lineRule="auto"/>
        <w:ind w:firstLine="567"/>
        <w:jc w:val="both"/>
        <w:rPr>
          <w:rFonts w:ascii="Times New Roman" w:hAnsi="Times New Roman" w:cs="Times New Roman"/>
          <w:b/>
          <w:bCs/>
          <w:color w:val="000000" w:themeColor="text1"/>
          <w:lang w:val="lt-LT"/>
        </w:rPr>
      </w:pPr>
      <w:r w:rsidRPr="00071F5A">
        <w:rPr>
          <w:rFonts w:ascii="Times New Roman" w:hAnsi="Times New Roman" w:cs="Times New Roman"/>
          <w:color w:val="000000" w:themeColor="text1"/>
          <w:lang w:val="lt-LT"/>
        </w:rPr>
        <w:t xml:space="preserve">Visai įrangai ir ją sudarančioms atskiroms prekėms turi būti suteikiama </w:t>
      </w:r>
      <w:r w:rsidRPr="00071F5A">
        <w:rPr>
          <w:rFonts w:ascii="Times New Roman" w:hAnsi="Times New Roman" w:cs="Times New Roman"/>
          <w:b/>
          <w:bCs/>
          <w:color w:val="000000" w:themeColor="text1"/>
          <w:lang w:val="lt-LT"/>
        </w:rPr>
        <w:t>ne trumpesnė nei 12 mėnesių garantija</w:t>
      </w:r>
      <w:r w:rsidRPr="00071F5A">
        <w:rPr>
          <w:rFonts w:ascii="Times New Roman" w:hAnsi="Times New Roman" w:cs="Times New Roman"/>
          <w:color w:val="000000" w:themeColor="text1"/>
          <w:lang w:val="lt-LT"/>
        </w:rPr>
        <w:t xml:space="preserve">. Tiekėjas privalo su parduodamomis prekėmis perduoti Prekių garantiją </w:t>
      </w:r>
      <w:r w:rsidRPr="00071F5A">
        <w:rPr>
          <w:rFonts w:ascii="Times New Roman" w:hAnsi="Times New Roman" w:cs="Times New Roman"/>
          <w:lang w:val="lt-LT"/>
        </w:rPr>
        <w:t xml:space="preserve">patvirtinančius dokumentus. </w:t>
      </w:r>
      <w:r w:rsidRPr="00071F5A">
        <w:rPr>
          <w:rFonts w:ascii="Times New Roman" w:hAnsi="Times New Roman" w:cs="Times New Roman"/>
          <w:color w:val="000000" w:themeColor="text1"/>
          <w:lang w:val="lt-LT"/>
        </w:rPr>
        <w:t>Tiekėjas įrangos naudojimo vietoje turės užtikrinti parduotos įrangos garantinę priežiūrą ir garantinį remontą.</w:t>
      </w:r>
    </w:p>
    <w:p w14:paraId="5E853674" w14:textId="77777777" w:rsidR="009D7B72" w:rsidRPr="00071F5A" w:rsidRDefault="00CD5623" w:rsidP="005B7484">
      <w:pPr>
        <w:spacing w:after="0" w:line="240" w:lineRule="auto"/>
        <w:ind w:firstLine="567"/>
        <w:jc w:val="both"/>
        <w:rPr>
          <w:rFonts w:ascii="Times New Roman" w:hAnsi="Times New Roman" w:cs="Times New Roman"/>
          <w:lang w:val="lt-LT"/>
        </w:rPr>
      </w:pPr>
      <w:r w:rsidRPr="00071F5A">
        <w:rPr>
          <w:rFonts w:ascii="Times New Roman" w:hAnsi="Times New Roman" w:cs="Times New Roman"/>
          <w:lang w:val="lt-LT"/>
        </w:rPr>
        <w:t xml:space="preserve">Garantiniu laikotarpiu tiekėjas privalo </w:t>
      </w:r>
      <w:r w:rsidRPr="00071F5A">
        <w:rPr>
          <w:rFonts w:ascii="Times New Roman" w:hAnsi="Times New Roman" w:cs="Times New Roman"/>
          <w:b/>
          <w:bCs/>
          <w:lang w:val="lt-LT"/>
        </w:rPr>
        <w:t>ne ilgiau kaip per 15 darbo dienų</w:t>
      </w:r>
      <w:r w:rsidRPr="00071F5A">
        <w:rPr>
          <w:rFonts w:ascii="Times New Roman" w:hAnsi="Times New Roman" w:cs="Times New Roman"/>
          <w:lang w:val="lt-LT"/>
        </w:rPr>
        <w:t xml:space="preserve"> nuo pranešimo apie gedimą dienos pašalinti gedimą, o jei to neįmanoma atlikti vietoje, išsiųsti remontuoti tiekėjui ir pateikti Perkančiosios organizacijos atsakingam už sutarties vykdymą asmeniui išsiuntimo dokumentų kopiją.</w:t>
      </w:r>
    </w:p>
    <w:p w14:paraId="3786DB67" w14:textId="77777777" w:rsidR="009D7B72" w:rsidRPr="00071F5A" w:rsidRDefault="00CD5623" w:rsidP="005B7484">
      <w:pPr>
        <w:spacing w:after="0" w:line="240" w:lineRule="auto"/>
        <w:ind w:firstLine="567"/>
        <w:jc w:val="both"/>
        <w:rPr>
          <w:rFonts w:ascii="Times New Roman" w:hAnsi="Times New Roman" w:cs="Times New Roman"/>
          <w:color w:val="000000" w:themeColor="text1"/>
          <w:lang w:val="lt-LT"/>
        </w:rPr>
      </w:pPr>
      <w:r w:rsidRPr="00071F5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D4286B9" w14:textId="77777777" w:rsidR="00113260" w:rsidRPr="00071F5A" w:rsidRDefault="00113260" w:rsidP="005B7484">
      <w:pPr>
        <w:spacing w:after="0" w:line="240" w:lineRule="auto"/>
        <w:ind w:firstLine="567"/>
        <w:jc w:val="both"/>
        <w:rPr>
          <w:rFonts w:asciiTheme="majorBidi" w:hAnsiTheme="majorBidi" w:cstheme="majorBidi"/>
          <w:bCs/>
          <w:color w:val="000000" w:themeColor="text1"/>
          <w:lang w:val="lt-LT"/>
        </w:rPr>
      </w:pPr>
      <w:r w:rsidRPr="00071F5A">
        <w:rPr>
          <w:rFonts w:asciiTheme="majorBidi" w:hAnsiTheme="majorBidi" w:cstheme="majorBidi"/>
          <w:bCs/>
          <w:color w:val="000000" w:themeColor="text1"/>
          <w:lang w:val="lt-LT"/>
        </w:rPr>
        <w:t xml:space="preserve">Aplinkosauginiai kriterijai Prekei nustatomi vadovaujantis Aplinkos apsaugos kriterijų taikymo, vykdant žaliuosius pirkimus, tvarkos aprašo, patvirtinto 2011 m. </w:t>
      </w:r>
      <w:r w:rsidRPr="00071F5A">
        <w:rPr>
          <w:rFonts w:asciiTheme="majorBidi" w:hAnsiTheme="majorBidi" w:cstheme="majorBidi"/>
          <w:color w:val="000000" w:themeColor="text1"/>
          <w:lang w:val="lt-LT"/>
        </w:rPr>
        <w:t xml:space="preserve">birželio 28 d. </w:t>
      </w:r>
      <w:r w:rsidRPr="00071F5A">
        <w:rPr>
          <w:rFonts w:asciiTheme="majorBidi" w:hAnsiTheme="majorBidi" w:cstheme="majorBidi"/>
          <w:bCs/>
          <w:color w:val="000000" w:themeColor="text1"/>
          <w:lang w:val="lt-LT"/>
        </w:rPr>
        <w:t>įsakymu</w:t>
      </w:r>
      <w:r w:rsidRPr="00071F5A">
        <w:rPr>
          <w:rFonts w:asciiTheme="majorBidi" w:hAnsiTheme="majorBidi" w:cstheme="majorBidi"/>
          <w:color w:val="000000" w:themeColor="text1"/>
          <w:lang w:val="lt-LT"/>
        </w:rPr>
        <w:t xml:space="preserve"> D1-508 „Dėl Aplinkos apsaugos kriterijų </w:t>
      </w:r>
      <w:r w:rsidRPr="00071F5A">
        <w:rPr>
          <w:rFonts w:asciiTheme="majorBidi" w:hAnsiTheme="majorBidi" w:cstheme="majorBidi"/>
          <w:bCs/>
          <w:color w:val="000000" w:themeColor="text1"/>
          <w:lang w:val="lt-LT"/>
        </w:rPr>
        <w:t>taikymo, vykdant žaliuosius pirkimus</w:t>
      </w:r>
      <w:r w:rsidRPr="00071F5A">
        <w:rPr>
          <w:rFonts w:asciiTheme="majorBidi" w:hAnsiTheme="majorBidi" w:cstheme="majorBidi"/>
          <w:color w:val="000000" w:themeColor="text1"/>
          <w:lang w:val="lt-LT"/>
        </w:rPr>
        <w:t xml:space="preserve">, tvarkos aprašo patvirtinimo“ </w:t>
      </w:r>
      <w:r w:rsidRPr="00071F5A">
        <w:rPr>
          <w:rFonts w:asciiTheme="majorBidi" w:hAnsiTheme="majorBidi" w:cstheme="majorBidi"/>
          <w:bCs/>
          <w:color w:val="000000" w:themeColor="text1"/>
          <w:lang w:val="lt-LT"/>
        </w:rPr>
        <w:t>(toliau – Tvarkos aprašas)</w:t>
      </w:r>
      <w:r w:rsidRPr="00071F5A">
        <w:rPr>
          <w:rFonts w:asciiTheme="majorBidi" w:hAnsiTheme="majorBidi" w:cstheme="majorBidi"/>
          <w:color w:val="000000" w:themeColor="text1"/>
          <w:lang w:val="lt-LT"/>
        </w:rPr>
        <w:t xml:space="preserve"> </w:t>
      </w:r>
      <w:r w:rsidRPr="00071F5A">
        <w:rPr>
          <w:rFonts w:asciiTheme="majorBidi" w:hAnsiTheme="majorBidi" w:cstheme="majorBidi"/>
          <w:bCs/>
          <w:color w:val="000000" w:themeColor="text1"/>
          <w:lang w:val="lt-LT"/>
        </w:rPr>
        <w:t xml:space="preserve">aktualios redakcijos 4.4.4 punktu: </w:t>
      </w:r>
    </w:p>
    <w:p w14:paraId="5C3760D0" w14:textId="77777777" w:rsidR="00113260" w:rsidRPr="00071F5A" w:rsidRDefault="00113260" w:rsidP="00113260">
      <w:pPr>
        <w:pStyle w:val="ListParagraph"/>
        <w:numPr>
          <w:ilvl w:val="0"/>
          <w:numId w:val="14"/>
        </w:numPr>
        <w:spacing w:line="256" w:lineRule="auto"/>
        <w:jc w:val="both"/>
        <w:rPr>
          <w:rFonts w:ascii="Times New Roman" w:hAnsi="Times New Roman" w:cs="Times New Roman"/>
          <w:bCs/>
          <w:iCs/>
          <w:lang w:val="lt-LT"/>
        </w:rPr>
      </w:pPr>
      <w:r w:rsidRPr="00071F5A">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5E994479" w14:textId="24A7416C" w:rsidR="00CA4D3C" w:rsidRPr="00D938E6" w:rsidRDefault="00113260" w:rsidP="00D938E6">
      <w:pPr>
        <w:pStyle w:val="ListParagraph"/>
        <w:numPr>
          <w:ilvl w:val="0"/>
          <w:numId w:val="14"/>
        </w:numPr>
        <w:spacing w:line="256" w:lineRule="auto"/>
        <w:jc w:val="both"/>
        <w:rPr>
          <w:rFonts w:ascii="Times New Roman" w:hAnsi="Times New Roman" w:cs="Times New Roman"/>
          <w:bCs/>
          <w:iCs/>
          <w:lang w:val="lt-LT"/>
        </w:rPr>
      </w:pPr>
      <w:r w:rsidRPr="00071F5A">
        <w:rPr>
          <w:rFonts w:ascii="Times New Roman" w:hAnsi="Times New Roman" w:cs="Times New Roman"/>
          <w:shd w:val="clear" w:color="auto" w:fill="FFFFFF"/>
          <w:lang w:val="lt-LT"/>
        </w:rPr>
        <w:t>Tiekėjas privalo Prekes atvežti Pirkėjui ne kelių eismo piko valandomis, pirmadieniais − ketvirtadieniais nuo 10:00 iki 16:00 val., penktadieniais ir švenčių dienų išvakarėse nuo 10:00 iki 14:00 val. ir trumpiausiais galimais maršrutais.</w:t>
      </w:r>
    </w:p>
    <w:p w14:paraId="0F114483" w14:textId="63696D76" w:rsidR="009D7B72" w:rsidRPr="00071F5A" w:rsidRDefault="00CD5623" w:rsidP="00071F5A">
      <w:pPr>
        <w:spacing w:after="0"/>
        <w:ind w:left="709"/>
        <w:jc w:val="center"/>
        <w:rPr>
          <w:rFonts w:ascii="Times New Roman" w:hAnsi="Times New Roman" w:cs="Times New Roman"/>
          <w:b/>
          <w:bCs/>
          <w:color w:val="000000" w:themeColor="text1"/>
          <w:lang w:val="lt-LT"/>
        </w:rPr>
      </w:pPr>
      <w:r w:rsidRPr="00071F5A">
        <w:rPr>
          <w:rFonts w:ascii="Times New Roman" w:hAnsi="Times New Roman" w:cs="Times New Roman"/>
          <w:b/>
          <w:bCs/>
          <w:color w:val="000000" w:themeColor="text1"/>
          <w:lang w:val="lt-LT"/>
        </w:rPr>
        <w:t>DETALI TECHNINĖ SPECIFIKACIJ</w:t>
      </w:r>
      <w:r w:rsidR="00CA4D3C" w:rsidRPr="00071F5A">
        <w:rPr>
          <w:rFonts w:ascii="Times New Roman" w:hAnsi="Times New Roman" w:cs="Times New Roman"/>
          <w:b/>
          <w:bCs/>
          <w:color w:val="000000" w:themeColor="text1"/>
          <w:lang w:val="lt-LT"/>
        </w:rPr>
        <w:t>A</w:t>
      </w:r>
    </w:p>
    <w:tbl>
      <w:tblPr>
        <w:tblStyle w:val="TableGrid"/>
        <w:tblW w:w="10060" w:type="dxa"/>
        <w:tblLook w:val="04A0" w:firstRow="1" w:lastRow="0" w:firstColumn="1" w:lastColumn="0" w:noHBand="0" w:noVBand="1"/>
      </w:tblPr>
      <w:tblGrid>
        <w:gridCol w:w="5240"/>
        <w:gridCol w:w="4820"/>
      </w:tblGrid>
      <w:tr w:rsidR="00A75272" w:rsidRPr="00071F5A" w14:paraId="3D3935BF" w14:textId="77777777" w:rsidTr="00A75272">
        <w:tc>
          <w:tcPr>
            <w:tcW w:w="5240" w:type="dxa"/>
            <w:vAlign w:val="center"/>
          </w:tcPr>
          <w:p w14:paraId="534AF835" w14:textId="6EA0D1D2" w:rsidR="00A75272" w:rsidRPr="00071F5A" w:rsidRDefault="00A75272" w:rsidP="004A6302">
            <w:pPr>
              <w:jc w:val="center"/>
              <w:rPr>
                <w:rFonts w:ascii="Times New Roman" w:hAnsi="Times New Roman" w:cs="Times New Roman"/>
                <w:b/>
                <w:bCs/>
                <w:lang w:val="lt-LT"/>
              </w:rPr>
            </w:pPr>
            <w:r>
              <w:rPr>
                <w:rFonts w:ascii="Times New Roman" w:hAnsi="Times New Roman" w:cs="Times New Roman"/>
                <w:b/>
                <w:bCs/>
                <w:lang w:val="lt-LT"/>
              </w:rPr>
              <w:t>Reikalaujamos techninės charakteristikos/parametrai ir kiti reikalavimai</w:t>
            </w:r>
          </w:p>
        </w:tc>
        <w:tc>
          <w:tcPr>
            <w:tcW w:w="4820" w:type="dxa"/>
            <w:vAlign w:val="center"/>
          </w:tcPr>
          <w:p w14:paraId="028B287D" w14:textId="75F09306" w:rsidR="00A75272" w:rsidRPr="00071F5A" w:rsidRDefault="00A75272" w:rsidP="0001634E">
            <w:pPr>
              <w:jc w:val="center"/>
              <w:rPr>
                <w:rFonts w:ascii="Times New Roman" w:hAnsi="Times New Roman" w:cs="Times New Roman"/>
                <w:b/>
                <w:lang w:val="lt-LT"/>
              </w:rPr>
            </w:pPr>
            <w:r w:rsidRPr="00071F5A">
              <w:rPr>
                <w:rFonts w:ascii="Times New Roman" w:hAnsi="Times New Roman" w:cs="Times New Roman"/>
                <w:b/>
                <w:lang w:val="lt-LT"/>
              </w:rPr>
              <w:t xml:space="preserve">Tiekėjo </w:t>
            </w:r>
            <w:r w:rsidRPr="00071F5A">
              <w:rPr>
                <w:rFonts w:ascii="Times New Roman" w:hAnsi="Times New Roman" w:cs="Times New Roman"/>
                <w:b/>
                <w:lang w:val="lt-LT" w:eastAsia="lt-LT"/>
              </w:rPr>
              <w:t xml:space="preserve">siūloma </w:t>
            </w:r>
            <w:r>
              <w:rPr>
                <w:rFonts w:ascii="Times New Roman" w:hAnsi="Times New Roman" w:cs="Times New Roman"/>
                <w:b/>
                <w:lang w:val="lt-LT" w:eastAsia="lt-LT"/>
              </w:rPr>
              <w:t xml:space="preserve">techninė </w:t>
            </w:r>
            <w:r w:rsidRPr="00071F5A">
              <w:rPr>
                <w:rFonts w:ascii="Times New Roman" w:hAnsi="Times New Roman" w:cs="Times New Roman"/>
                <w:b/>
                <w:lang w:val="lt-LT" w:eastAsia="lt-LT"/>
              </w:rPr>
              <w:t>charakteristika/</w:t>
            </w:r>
            <w:r>
              <w:rPr>
                <w:rFonts w:ascii="Times New Roman" w:hAnsi="Times New Roman" w:cs="Times New Roman"/>
                <w:b/>
                <w:lang w:val="lt-LT" w:eastAsia="lt-LT"/>
              </w:rPr>
              <w:t>parametrai</w:t>
            </w:r>
          </w:p>
          <w:p w14:paraId="327C025E" w14:textId="77777777" w:rsidR="00A75272" w:rsidRPr="00071F5A" w:rsidRDefault="00A75272" w:rsidP="0051582F">
            <w:pPr>
              <w:ind w:right="144"/>
              <w:rPr>
                <w:rFonts w:ascii="Times New Roman" w:hAnsi="Times New Roman" w:cs="Times New Roman"/>
                <w:b/>
                <w:i/>
                <w:iCs/>
                <w:sz w:val="22"/>
                <w:szCs w:val="22"/>
                <w:lang w:val="lt-LT"/>
              </w:rPr>
            </w:pPr>
          </w:p>
          <w:p w14:paraId="0E3CB1A5" w14:textId="77777777" w:rsidR="00A75272" w:rsidRDefault="00A75272" w:rsidP="00DD3DA0">
            <w:pPr>
              <w:ind w:right="144"/>
              <w:jc w:val="center"/>
              <w:rPr>
                <w:rFonts w:ascii="Times New Roman" w:hAnsi="Times New Roman" w:cs="Times New Roman"/>
                <w:bCs/>
                <w:i/>
                <w:iCs/>
                <w:sz w:val="22"/>
                <w:szCs w:val="22"/>
                <w:lang w:val="lt-LT"/>
              </w:rPr>
            </w:pPr>
            <w:r w:rsidRPr="00071F5A">
              <w:rPr>
                <w:rFonts w:ascii="Times New Roman" w:hAnsi="Times New Roman" w:cs="Times New Roman"/>
                <w:bCs/>
                <w:i/>
                <w:iCs/>
                <w:sz w:val="22"/>
                <w:szCs w:val="22"/>
                <w:lang w:val="lt-LT"/>
              </w:rPr>
              <w:t xml:space="preserve">Siūlomų prekių gamintojas, gaminio modelis bei konkretūs techniniai parametrai su </w:t>
            </w:r>
            <w:r w:rsidRPr="00071F5A">
              <w:rPr>
                <w:rFonts w:asciiTheme="majorBidi" w:hAnsiTheme="majorBidi" w:cstheme="majorBidi"/>
                <w:bCs/>
                <w:i/>
                <w:iCs/>
                <w:sz w:val="22"/>
                <w:szCs w:val="22"/>
                <w:lang w:val="lt-LT"/>
              </w:rPr>
              <w:t>tikslia nuoroda kuriame prisegtame dokumente ir jo puslapyje yra pateikta informacija apie prekę</w:t>
            </w:r>
            <w:r w:rsidRPr="00071F5A">
              <w:rPr>
                <w:rFonts w:ascii="Times New Roman" w:hAnsi="Times New Roman" w:cs="Times New Roman"/>
                <w:bCs/>
                <w:i/>
                <w:iCs/>
                <w:sz w:val="22"/>
                <w:szCs w:val="22"/>
                <w:lang w:val="lt-LT"/>
              </w:rPr>
              <w:t xml:space="preserve"> </w:t>
            </w:r>
          </w:p>
          <w:p w14:paraId="10C191D9" w14:textId="77777777" w:rsidR="00A75272" w:rsidRDefault="00A75272" w:rsidP="00DD3DA0">
            <w:pPr>
              <w:ind w:right="144"/>
              <w:jc w:val="center"/>
              <w:rPr>
                <w:rFonts w:ascii="Times New Roman" w:hAnsi="Times New Roman" w:cs="Times New Roman"/>
                <w:i/>
                <w:iCs/>
                <w:sz w:val="22"/>
                <w:szCs w:val="22"/>
                <w:lang w:val="lt-LT"/>
              </w:rPr>
            </w:pPr>
          </w:p>
          <w:p w14:paraId="500DD1DF" w14:textId="36494789" w:rsidR="00A75272" w:rsidRPr="00071F5A" w:rsidRDefault="00A75272" w:rsidP="00071F5A">
            <w:pPr>
              <w:ind w:right="144"/>
              <w:jc w:val="center"/>
              <w:rPr>
                <w:rFonts w:ascii="Times New Roman" w:hAnsi="Times New Roman" w:cs="Times New Roman"/>
                <w:i/>
                <w:iCs/>
                <w:sz w:val="22"/>
                <w:szCs w:val="22"/>
                <w:lang w:val="lt-LT"/>
              </w:rPr>
            </w:pPr>
            <w:r w:rsidRPr="00071F5A">
              <w:rPr>
                <w:rFonts w:ascii="Times New Roman" w:hAnsi="Times New Roman" w:cs="Times New Roman"/>
                <w:i/>
                <w:iCs/>
                <w:sz w:val="22"/>
                <w:szCs w:val="22"/>
                <w:lang w:val="lt-LT"/>
              </w:rPr>
              <w:t>(tiekėjas turi nurodyti tikslius dydžius, medžiagas, išmatavimus ir pan. – t. y. nepaliekant žodžių „ne mažiau“, ne daugiau“, „ne siauresnis“, „ne platesnis“ arba lygiavertis“ ,,+/-„ ar pan.)</w:t>
            </w:r>
          </w:p>
        </w:tc>
      </w:tr>
      <w:tr w:rsidR="00A04019" w:rsidRPr="00071F5A" w14:paraId="0B21D5C0" w14:textId="77777777" w:rsidTr="009E78B6">
        <w:tc>
          <w:tcPr>
            <w:tcW w:w="10060" w:type="dxa"/>
            <w:gridSpan w:val="2"/>
            <w:shd w:val="clear" w:color="auto" w:fill="D1D1D1" w:themeFill="background2" w:themeFillShade="E6"/>
          </w:tcPr>
          <w:p w14:paraId="47DD2D5B" w14:textId="0E3A267D" w:rsidR="00A04019" w:rsidRPr="00A04019" w:rsidRDefault="00A04019" w:rsidP="00A04019">
            <w:pPr>
              <w:pStyle w:val="ListParagraph"/>
              <w:numPr>
                <w:ilvl w:val="0"/>
                <w:numId w:val="16"/>
              </w:numPr>
              <w:rPr>
                <w:rFonts w:ascii="Times New Roman" w:hAnsi="Times New Roman" w:cs="Times New Roman"/>
                <w:highlight w:val="lightGray"/>
                <w:lang w:val="lt-LT"/>
              </w:rPr>
            </w:pPr>
            <w:r w:rsidRPr="00A04019">
              <w:rPr>
                <w:rFonts w:ascii="Times New Roman" w:hAnsi="Times New Roman" w:cs="Times New Roman"/>
                <w:highlight w:val="lightGray"/>
                <w:lang w:val="lt-LT"/>
              </w:rPr>
              <w:t>Įrangos taikymas</w:t>
            </w:r>
          </w:p>
        </w:tc>
      </w:tr>
      <w:tr w:rsidR="009615E3" w:rsidRPr="00071F5A" w14:paraId="1C32AA5E" w14:textId="77777777" w:rsidTr="00FE6A4D">
        <w:tc>
          <w:tcPr>
            <w:tcW w:w="5240" w:type="dxa"/>
          </w:tcPr>
          <w:p w14:paraId="2668200F" w14:textId="77777777" w:rsidR="00CD52FA" w:rsidRDefault="009615E3" w:rsidP="00B5583E">
            <w:pPr>
              <w:jc w:val="both"/>
              <w:rPr>
                <w:rFonts w:ascii="Times New Roman" w:hAnsi="Times New Roman" w:cs="Times New Roman"/>
                <w:lang w:val="lt-LT"/>
              </w:rPr>
            </w:pPr>
            <w:r w:rsidRPr="00302105">
              <w:rPr>
                <w:rFonts w:ascii="Times New Roman" w:hAnsi="Times New Roman" w:cs="Times New Roman"/>
                <w:lang w:val="lt-LT"/>
              </w:rPr>
              <w:t xml:space="preserve">Įranga </w:t>
            </w:r>
            <w:r w:rsidR="00B96D21" w:rsidRPr="00302105">
              <w:rPr>
                <w:rFonts w:ascii="Times New Roman" w:hAnsi="Times New Roman" w:cs="Times New Roman"/>
                <w:lang w:val="lt-LT"/>
              </w:rPr>
              <w:t xml:space="preserve">turi būti </w:t>
            </w:r>
            <w:r w:rsidRPr="00302105">
              <w:rPr>
                <w:rFonts w:ascii="Times New Roman" w:hAnsi="Times New Roman" w:cs="Times New Roman"/>
                <w:lang w:val="lt-LT"/>
              </w:rPr>
              <w:t xml:space="preserve">skirta polimerinių pluoštinių membranų, polimerinių membranų ir aerozolio dalelių, naudojamų vandens valymo, </w:t>
            </w:r>
            <w:proofErr w:type="spellStart"/>
            <w:r w:rsidRPr="00302105">
              <w:rPr>
                <w:rFonts w:ascii="Times New Roman" w:hAnsi="Times New Roman" w:cs="Times New Roman"/>
                <w:lang w:val="lt-LT"/>
              </w:rPr>
              <w:t>osmoso</w:t>
            </w:r>
            <w:proofErr w:type="spellEnd"/>
            <w:r w:rsidRPr="00302105">
              <w:rPr>
                <w:rFonts w:ascii="Times New Roman" w:hAnsi="Times New Roman" w:cs="Times New Roman"/>
                <w:lang w:val="lt-LT"/>
              </w:rPr>
              <w:t xml:space="preserve">, jonų sulaikymo ir </w:t>
            </w:r>
            <w:proofErr w:type="spellStart"/>
            <w:r w:rsidRPr="00302105">
              <w:rPr>
                <w:rFonts w:ascii="Times New Roman" w:hAnsi="Times New Roman" w:cs="Times New Roman"/>
                <w:lang w:val="lt-LT"/>
              </w:rPr>
              <w:t>mikrofiltracijos</w:t>
            </w:r>
            <w:proofErr w:type="spellEnd"/>
            <w:r w:rsidRPr="00302105">
              <w:rPr>
                <w:rFonts w:ascii="Times New Roman" w:hAnsi="Times New Roman" w:cs="Times New Roman"/>
                <w:lang w:val="lt-LT"/>
              </w:rPr>
              <w:t xml:space="preserve"> tyrimuose, taip pat </w:t>
            </w:r>
            <w:r w:rsidRPr="00302105">
              <w:rPr>
                <w:rFonts w:ascii="Times New Roman" w:hAnsi="Times New Roman" w:cs="Times New Roman"/>
                <w:lang w:val="lt-LT"/>
              </w:rPr>
              <w:lastRenderedPageBreak/>
              <w:t xml:space="preserve">kietųjų dalelių, paviršių, </w:t>
            </w:r>
            <w:proofErr w:type="spellStart"/>
            <w:r w:rsidRPr="00302105">
              <w:rPr>
                <w:rFonts w:ascii="Times New Roman" w:hAnsi="Times New Roman" w:cs="Times New Roman"/>
                <w:lang w:val="lt-LT"/>
              </w:rPr>
              <w:t>nanostruktūrų</w:t>
            </w:r>
            <w:proofErr w:type="spellEnd"/>
            <w:r w:rsidRPr="00302105">
              <w:rPr>
                <w:rFonts w:ascii="Times New Roman" w:hAnsi="Times New Roman" w:cs="Times New Roman"/>
                <w:lang w:val="lt-LT"/>
              </w:rPr>
              <w:t>, pluoštinių struktūrų, filtrų bei biologinių mėginių morfologinei ir elementinei analizei, taikant skenuojančios elektroninės mikroskopijos ir energijos dispersijos rentgeno spektroskopijos metodus</w:t>
            </w:r>
            <w:r w:rsidR="00CD52FA" w:rsidRPr="00302105">
              <w:rPr>
                <w:rFonts w:ascii="Times New Roman" w:hAnsi="Times New Roman" w:cs="Times New Roman"/>
                <w:lang w:val="lt-LT"/>
              </w:rPr>
              <w:t>.</w:t>
            </w:r>
          </w:p>
          <w:p w14:paraId="7CDCCAF5" w14:textId="100DB2B6" w:rsidR="009615E3" w:rsidRPr="00071F5A" w:rsidRDefault="00CD52FA" w:rsidP="00B5583E">
            <w:pPr>
              <w:jc w:val="both"/>
              <w:rPr>
                <w:rFonts w:ascii="Times New Roman" w:hAnsi="Times New Roman" w:cs="Times New Roman"/>
                <w:lang w:val="lt-LT"/>
              </w:rPr>
            </w:pPr>
            <w:r>
              <w:rPr>
                <w:rFonts w:ascii="Times New Roman" w:hAnsi="Times New Roman" w:cs="Times New Roman"/>
                <w:lang w:val="lt-LT"/>
              </w:rPr>
              <w:t>S</w:t>
            </w:r>
            <w:r w:rsidR="009615E3" w:rsidRPr="00071F5A">
              <w:rPr>
                <w:rFonts w:ascii="Times New Roman" w:hAnsi="Times New Roman" w:cs="Times New Roman"/>
                <w:lang w:val="lt-LT"/>
              </w:rPr>
              <w:t>istema turi būti tinkama nelaidžių arba silpnai laidžių mėginių analizei be papildomo laidumą didinančio mėginio apdorojimo, naudojant žemo vakuumo ir (ar) įkrovos mažinimo sprendinį.</w:t>
            </w:r>
          </w:p>
        </w:tc>
        <w:tc>
          <w:tcPr>
            <w:tcW w:w="4820" w:type="dxa"/>
          </w:tcPr>
          <w:p w14:paraId="3D630E91" w14:textId="1C1B6F6F" w:rsidR="009615E3" w:rsidRPr="00071F5A" w:rsidRDefault="009615E3">
            <w:pPr>
              <w:rPr>
                <w:rFonts w:ascii="Times New Roman" w:hAnsi="Times New Roman" w:cs="Times New Roman"/>
                <w:lang w:val="lt-LT"/>
              </w:rPr>
            </w:pPr>
          </w:p>
        </w:tc>
      </w:tr>
      <w:tr w:rsidR="00A04019" w:rsidRPr="00071F5A" w14:paraId="1B37FF93" w14:textId="77777777" w:rsidTr="00501FE8">
        <w:tc>
          <w:tcPr>
            <w:tcW w:w="10060" w:type="dxa"/>
            <w:gridSpan w:val="2"/>
            <w:shd w:val="clear" w:color="auto" w:fill="D1D1D1" w:themeFill="background2" w:themeFillShade="E6"/>
          </w:tcPr>
          <w:p w14:paraId="3DF92CC9" w14:textId="3F891347" w:rsidR="00A04019" w:rsidRPr="00A04019" w:rsidRDefault="00A04019" w:rsidP="00A04019">
            <w:pPr>
              <w:pStyle w:val="ListParagraph"/>
              <w:numPr>
                <w:ilvl w:val="0"/>
                <w:numId w:val="16"/>
              </w:numPr>
              <w:rPr>
                <w:rFonts w:ascii="Times New Roman" w:hAnsi="Times New Roman" w:cs="Times New Roman"/>
                <w:lang w:val="lt-LT"/>
              </w:rPr>
            </w:pPr>
            <w:r w:rsidRPr="00A04019">
              <w:rPr>
                <w:rFonts w:ascii="Times New Roman" w:hAnsi="Times New Roman" w:cs="Times New Roman"/>
                <w:lang w:val="lt-LT"/>
              </w:rPr>
              <w:t>Įrangos komplektavimas</w:t>
            </w:r>
          </w:p>
        </w:tc>
      </w:tr>
      <w:tr w:rsidR="009615E3" w:rsidRPr="00071F5A" w14:paraId="1A78EFF8" w14:textId="77777777" w:rsidTr="00711041">
        <w:tc>
          <w:tcPr>
            <w:tcW w:w="5240" w:type="dxa"/>
          </w:tcPr>
          <w:p w14:paraId="5319BB00" w14:textId="59EF53F7" w:rsidR="009615E3" w:rsidRPr="00071F5A" w:rsidRDefault="009615E3" w:rsidP="00B5583E">
            <w:pPr>
              <w:jc w:val="both"/>
              <w:rPr>
                <w:rFonts w:ascii="Times New Roman" w:hAnsi="Times New Roman" w:cs="Times New Roman"/>
                <w:lang w:val="lt-LT"/>
              </w:rPr>
            </w:pPr>
            <w:r w:rsidRPr="00071F5A">
              <w:rPr>
                <w:rFonts w:ascii="Times New Roman" w:hAnsi="Times New Roman" w:cs="Times New Roman"/>
                <w:lang w:val="lt-LT"/>
              </w:rPr>
              <w:t>Pilnai sukomplektuota stalinio tipo skenuojančio elektroninio mikroskopo sistema su BSE/BSD, SED, integruota EDS, optine navigacijos kamera, motorizuotu X-Y mėginio staliuku, darbo stotimi, priedais, nelaidžių polimerinių mėginių analizės sprendiniu ir specializuotais programinės įrangos moduliais morfologinei, elementinei bei statistinei analizei kaip vientisa, tarpusavyje suderinta sistema.</w:t>
            </w:r>
          </w:p>
        </w:tc>
        <w:tc>
          <w:tcPr>
            <w:tcW w:w="4820" w:type="dxa"/>
          </w:tcPr>
          <w:p w14:paraId="1D27C9E4" w14:textId="07F1940B" w:rsidR="009615E3" w:rsidRPr="00071F5A" w:rsidRDefault="009615E3">
            <w:pPr>
              <w:rPr>
                <w:rFonts w:ascii="Times New Roman" w:hAnsi="Times New Roman" w:cs="Times New Roman"/>
                <w:lang w:val="lt-LT"/>
              </w:rPr>
            </w:pPr>
          </w:p>
        </w:tc>
      </w:tr>
      <w:tr w:rsidR="00A04019" w:rsidRPr="00071F5A" w14:paraId="7FD5F957" w14:textId="77777777" w:rsidTr="00AA42E6">
        <w:tc>
          <w:tcPr>
            <w:tcW w:w="10060" w:type="dxa"/>
            <w:gridSpan w:val="2"/>
            <w:shd w:val="clear" w:color="auto" w:fill="D1D1D1" w:themeFill="background2" w:themeFillShade="E6"/>
          </w:tcPr>
          <w:p w14:paraId="5A22B065" w14:textId="366BB15B" w:rsidR="00A04019" w:rsidRPr="00A04019" w:rsidRDefault="00A04019" w:rsidP="00A04019">
            <w:pPr>
              <w:pStyle w:val="ListParagraph"/>
              <w:numPr>
                <w:ilvl w:val="0"/>
                <w:numId w:val="16"/>
              </w:numPr>
              <w:rPr>
                <w:rFonts w:ascii="Times New Roman" w:hAnsi="Times New Roman" w:cs="Times New Roman"/>
                <w:i/>
                <w:lang w:val="lt-LT"/>
              </w:rPr>
            </w:pPr>
            <w:r w:rsidRPr="00A04019">
              <w:rPr>
                <w:rFonts w:ascii="Times New Roman" w:hAnsi="Times New Roman" w:cs="Times New Roman"/>
                <w:lang w:val="lt-LT"/>
              </w:rPr>
              <w:t>Stalinis skenuojantis elektroninis mikroskopas</w:t>
            </w:r>
          </w:p>
        </w:tc>
      </w:tr>
      <w:tr w:rsidR="00680722" w:rsidRPr="00071F5A" w14:paraId="5730E43F" w14:textId="77777777" w:rsidTr="00CE214E">
        <w:tc>
          <w:tcPr>
            <w:tcW w:w="5240" w:type="dxa"/>
          </w:tcPr>
          <w:p w14:paraId="7AC98E63" w14:textId="3D4AEB37" w:rsidR="00680722" w:rsidRPr="00071F5A" w:rsidRDefault="00680722" w:rsidP="00B5583E">
            <w:pPr>
              <w:jc w:val="both"/>
              <w:rPr>
                <w:rFonts w:ascii="Times New Roman" w:hAnsi="Times New Roman" w:cs="Times New Roman"/>
                <w:lang w:val="lt-LT"/>
              </w:rPr>
            </w:pPr>
            <w:r w:rsidRPr="00071F5A">
              <w:rPr>
                <w:rFonts w:ascii="Times New Roman" w:hAnsi="Times New Roman" w:cs="Times New Roman"/>
                <w:lang w:val="lt-LT"/>
              </w:rPr>
              <w:t>Elektroninės optikos didinimas - ne mažiau kaip 250 000 kartų.</w:t>
            </w:r>
          </w:p>
          <w:p w14:paraId="216870BD" w14:textId="32031151" w:rsidR="00680722" w:rsidRPr="00071F5A" w:rsidRDefault="00680722" w:rsidP="00B5583E">
            <w:pPr>
              <w:jc w:val="both"/>
              <w:rPr>
                <w:rFonts w:ascii="Times New Roman" w:hAnsi="Times New Roman" w:cs="Times New Roman"/>
                <w:lang w:val="lt-LT"/>
              </w:rPr>
            </w:pPr>
            <w:r w:rsidRPr="00071F5A">
              <w:rPr>
                <w:rFonts w:ascii="Times New Roman" w:hAnsi="Times New Roman" w:cs="Times New Roman"/>
                <w:lang w:val="lt-LT"/>
              </w:rPr>
              <w:t>Integruota optinė navigacijos kamera, leidžianti peržiūrėti mėginio paviršių ir pasirinkti analizės sritį; optinės peržiūros didinimas</w:t>
            </w:r>
            <w:r w:rsidR="00590898">
              <w:rPr>
                <w:rFonts w:ascii="Times New Roman" w:hAnsi="Times New Roman" w:cs="Times New Roman"/>
                <w:lang w:val="lt-LT"/>
              </w:rPr>
              <w:t xml:space="preserve"> </w:t>
            </w:r>
            <w:r w:rsidRPr="00071F5A">
              <w:rPr>
                <w:rFonts w:ascii="Times New Roman" w:hAnsi="Times New Roman" w:cs="Times New Roman"/>
                <w:lang w:val="lt-LT"/>
              </w:rPr>
              <w:t>ne siauresniame intervale kaip 27-160x.</w:t>
            </w:r>
          </w:p>
          <w:p w14:paraId="27CEE281" w14:textId="77777777" w:rsidR="00680722" w:rsidRPr="00071F5A" w:rsidRDefault="00680722" w:rsidP="00B5583E">
            <w:pPr>
              <w:jc w:val="both"/>
              <w:rPr>
                <w:rFonts w:ascii="Times New Roman" w:hAnsi="Times New Roman" w:cs="Times New Roman"/>
                <w:lang w:val="lt-LT"/>
              </w:rPr>
            </w:pPr>
            <w:r w:rsidRPr="00071F5A">
              <w:rPr>
                <w:rFonts w:ascii="Times New Roman" w:hAnsi="Times New Roman" w:cs="Times New Roman"/>
                <w:lang w:val="lt-LT"/>
              </w:rPr>
              <w:t xml:space="preserve">Elektronų šaltinis - </w:t>
            </w:r>
            <w:proofErr w:type="spellStart"/>
            <w:r w:rsidRPr="00071F5A">
              <w:rPr>
                <w:rFonts w:ascii="Times New Roman" w:hAnsi="Times New Roman" w:cs="Times New Roman"/>
                <w:lang w:val="lt-LT"/>
              </w:rPr>
              <w:t>termioninis</w:t>
            </w:r>
            <w:proofErr w:type="spellEnd"/>
            <w:r w:rsidRPr="00071F5A">
              <w:rPr>
                <w:rFonts w:ascii="Times New Roman" w:hAnsi="Times New Roman" w:cs="Times New Roman"/>
                <w:lang w:val="lt-LT"/>
              </w:rPr>
              <w:t xml:space="preserve"> arba kitas lygiavertis, užtikrinantis reikalingą vaizdo kokybę ir stabilumą.</w:t>
            </w:r>
          </w:p>
          <w:p w14:paraId="7A8974F6" w14:textId="3D0862C3" w:rsidR="00680722" w:rsidRPr="00071F5A" w:rsidRDefault="00680722" w:rsidP="00B5583E">
            <w:pPr>
              <w:jc w:val="both"/>
              <w:rPr>
                <w:rFonts w:ascii="Times New Roman" w:hAnsi="Times New Roman" w:cs="Times New Roman"/>
                <w:lang w:val="lt-LT"/>
              </w:rPr>
            </w:pPr>
            <w:r w:rsidRPr="00071F5A">
              <w:rPr>
                <w:rFonts w:ascii="Times New Roman" w:hAnsi="Times New Roman" w:cs="Times New Roman"/>
                <w:lang w:val="lt-LT"/>
              </w:rPr>
              <w:t xml:space="preserve">Pagreitinimo įtampos ne siauresniame intervale kaip 5-20 </w:t>
            </w:r>
            <w:proofErr w:type="spellStart"/>
            <w:r w:rsidRPr="00071F5A">
              <w:rPr>
                <w:rFonts w:ascii="Times New Roman" w:hAnsi="Times New Roman" w:cs="Times New Roman"/>
                <w:lang w:val="lt-LT"/>
              </w:rPr>
              <w:t>kV</w:t>
            </w:r>
            <w:proofErr w:type="spellEnd"/>
            <w:r w:rsidRPr="00071F5A">
              <w:rPr>
                <w:rFonts w:ascii="Times New Roman" w:hAnsi="Times New Roman" w:cs="Times New Roman"/>
                <w:lang w:val="lt-LT"/>
              </w:rPr>
              <w:t xml:space="preserve"> arba iš anksto nustatyti režimai, apimantys bent 5 </w:t>
            </w:r>
            <w:proofErr w:type="spellStart"/>
            <w:r w:rsidRPr="00071F5A">
              <w:rPr>
                <w:rFonts w:ascii="Times New Roman" w:hAnsi="Times New Roman" w:cs="Times New Roman"/>
                <w:lang w:val="lt-LT"/>
              </w:rPr>
              <w:t>kV</w:t>
            </w:r>
            <w:proofErr w:type="spellEnd"/>
            <w:r w:rsidRPr="00071F5A">
              <w:rPr>
                <w:rFonts w:ascii="Times New Roman" w:hAnsi="Times New Roman" w:cs="Times New Roman"/>
                <w:lang w:val="lt-LT"/>
              </w:rPr>
              <w:t xml:space="preserve">, 10 </w:t>
            </w:r>
            <w:proofErr w:type="spellStart"/>
            <w:r w:rsidRPr="00071F5A">
              <w:rPr>
                <w:rFonts w:ascii="Times New Roman" w:hAnsi="Times New Roman" w:cs="Times New Roman"/>
                <w:lang w:val="lt-LT"/>
              </w:rPr>
              <w:t>kV</w:t>
            </w:r>
            <w:proofErr w:type="spellEnd"/>
            <w:r w:rsidRPr="00071F5A">
              <w:rPr>
                <w:rFonts w:ascii="Times New Roman" w:hAnsi="Times New Roman" w:cs="Times New Roman"/>
                <w:lang w:val="lt-LT"/>
              </w:rPr>
              <w:t xml:space="preserve">, 15 </w:t>
            </w:r>
            <w:proofErr w:type="spellStart"/>
            <w:r w:rsidRPr="00071F5A">
              <w:rPr>
                <w:rFonts w:ascii="Times New Roman" w:hAnsi="Times New Roman" w:cs="Times New Roman"/>
                <w:lang w:val="lt-LT"/>
              </w:rPr>
              <w:t>kV</w:t>
            </w:r>
            <w:proofErr w:type="spellEnd"/>
            <w:r w:rsidRPr="00071F5A">
              <w:rPr>
                <w:rFonts w:ascii="Times New Roman" w:hAnsi="Times New Roman" w:cs="Times New Roman"/>
                <w:lang w:val="lt-LT"/>
              </w:rPr>
              <w:t xml:space="preserve"> ir 20 </w:t>
            </w:r>
            <w:proofErr w:type="spellStart"/>
            <w:r w:rsidRPr="00071F5A">
              <w:rPr>
                <w:rFonts w:ascii="Times New Roman" w:hAnsi="Times New Roman" w:cs="Times New Roman"/>
                <w:lang w:val="lt-LT"/>
              </w:rPr>
              <w:t>kV</w:t>
            </w:r>
            <w:r w:rsidR="00590898">
              <w:rPr>
                <w:rFonts w:ascii="Times New Roman" w:hAnsi="Times New Roman" w:cs="Times New Roman"/>
                <w:lang w:val="lt-LT"/>
              </w:rPr>
              <w:t>.</w:t>
            </w:r>
            <w:proofErr w:type="spellEnd"/>
          </w:p>
          <w:p w14:paraId="06590CD0" w14:textId="72D95792" w:rsidR="00680722" w:rsidRPr="00071F5A" w:rsidRDefault="00680722" w:rsidP="00B5583E">
            <w:pPr>
              <w:jc w:val="both"/>
              <w:rPr>
                <w:rFonts w:ascii="Times New Roman" w:hAnsi="Times New Roman" w:cs="Times New Roman"/>
                <w:lang w:val="lt-LT"/>
              </w:rPr>
            </w:pPr>
            <w:r w:rsidRPr="00071F5A">
              <w:rPr>
                <w:rFonts w:ascii="Times New Roman" w:hAnsi="Times New Roman" w:cs="Times New Roman"/>
                <w:lang w:val="lt-LT"/>
              </w:rPr>
              <w:t xml:space="preserve">Skiriamoji geba ne blogesnė kaip 8 </w:t>
            </w:r>
            <w:proofErr w:type="spellStart"/>
            <w:r w:rsidRPr="00071F5A">
              <w:rPr>
                <w:rFonts w:ascii="Times New Roman" w:hAnsi="Times New Roman" w:cs="Times New Roman"/>
                <w:lang w:val="lt-LT"/>
              </w:rPr>
              <w:t>nm</w:t>
            </w:r>
            <w:proofErr w:type="spellEnd"/>
            <w:r w:rsidRPr="00071F5A">
              <w:rPr>
                <w:rFonts w:ascii="Times New Roman" w:hAnsi="Times New Roman" w:cs="Times New Roman"/>
                <w:lang w:val="lt-LT"/>
              </w:rPr>
              <w:t xml:space="preserve"> naudojant BSD/BSE detektorių ir ne blogesnė kaip 6 </w:t>
            </w:r>
            <w:proofErr w:type="spellStart"/>
            <w:r w:rsidRPr="00071F5A">
              <w:rPr>
                <w:rFonts w:ascii="Times New Roman" w:hAnsi="Times New Roman" w:cs="Times New Roman"/>
                <w:lang w:val="lt-LT"/>
              </w:rPr>
              <w:t>nm</w:t>
            </w:r>
            <w:proofErr w:type="spellEnd"/>
            <w:r w:rsidRPr="00071F5A">
              <w:rPr>
                <w:rFonts w:ascii="Times New Roman" w:hAnsi="Times New Roman" w:cs="Times New Roman"/>
                <w:lang w:val="lt-LT"/>
              </w:rPr>
              <w:t xml:space="preserve"> naudojant SED arba lygiavertį antrinių elektronų signalą.</w:t>
            </w:r>
          </w:p>
          <w:p w14:paraId="214D3C64" w14:textId="77777777" w:rsidR="00680722" w:rsidRPr="00071F5A" w:rsidRDefault="00680722" w:rsidP="00B5583E">
            <w:pPr>
              <w:jc w:val="both"/>
              <w:rPr>
                <w:rFonts w:ascii="Times New Roman" w:hAnsi="Times New Roman" w:cs="Times New Roman"/>
                <w:lang w:val="lt-LT"/>
              </w:rPr>
            </w:pPr>
            <w:r w:rsidRPr="00071F5A">
              <w:rPr>
                <w:rFonts w:ascii="Times New Roman" w:hAnsi="Times New Roman" w:cs="Times New Roman"/>
                <w:lang w:val="lt-LT"/>
              </w:rPr>
              <w:t>Kompiuterizuotas motorizuotas ne mažiau kaip X ir Y ašių mėginio staliukas.</w:t>
            </w:r>
          </w:p>
          <w:p w14:paraId="2B127DFA" w14:textId="77777777" w:rsidR="00680722" w:rsidRPr="00071F5A" w:rsidRDefault="00680722" w:rsidP="00B5583E">
            <w:pPr>
              <w:jc w:val="both"/>
              <w:rPr>
                <w:rFonts w:ascii="Times New Roman" w:hAnsi="Times New Roman" w:cs="Times New Roman"/>
                <w:lang w:val="lt-LT"/>
              </w:rPr>
            </w:pPr>
            <w:r w:rsidRPr="00071F5A">
              <w:rPr>
                <w:rFonts w:ascii="Times New Roman" w:hAnsi="Times New Roman" w:cs="Times New Roman"/>
                <w:lang w:val="lt-LT"/>
              </w:rPr>
              <w:t>Sistema turi būti tinkama mėginiams ne mažesniems kaip 25 mm skersmens ir 35 mm aukščio.</w:t>
            </w:r>
          </w:p>
          <w:p w14:paraId="7F77BBC1" w14:textId="2ABE19AD" w:rsidR="00680722" w:rsidRPr="00071F5A" w:rsidRDefault="00680722" w:rsidP="00B5583E">
            <w:pPr>
              <w:jc w:val="both"/>
              <w:rPr>
                <w:rFonts w:ascii="Times New Roman" w:hAnsi="Times New Roman" w:cs="Times New Roman"/>
                <w:lang w:val="lt-LT"/>
              </w:rPr>
            </w:pPr>
            <w:r w:rsidRPr="00071F5A">
              <w:rPr>
                <w:rFonts w:ascii="Times New Roman" w:hAnsi="Times New Roman" w:cs="Times New Roman"/>
                <w:lang w:val="lt-LT"/>
              </w:rPr>
              <w:t>Turi būti gamintojo integruotas sprendinys nelaidžių arba silpnai laidžių polimerinių mėginių analizei be papildomo laidumą didinančio apdorojimo įkrovos mažinimo laikiklis ir/ar žemo vakuumo darbo režimas.</w:t>
            </w:r>
          </w:p>
          <w:p w14:paraId="2F6AD672" w14:textId="43C5D53F" w:rsidR="00680722" w:rsidRPr="00071F5A" w:rsidRDefault="00680722" w:rsidP="00B5583E">
            <w:pPr>
              <w:jc w:val="both"/>
              <w:rPr>
                <w:rFonts w:ascii="Times New Roman" w:hAnsi="Times New Roman" w:cs="Times New Roman"/>
                <w:lang w:val="lt-LT"/>
              </w:rPr>
            </w:pPr>
            <w:r w:rsidRPr="00071F5A">
              <w:rPr>
                <w:rFonts w:ascii="Times New Roman" w:hAnsi="Times New Roman" w:cs="Times New Roman"/>
                <w:lang w:val="lt-LT"/>
              </w:rPr>
              <w:t>Vaizdų išsaugojimo formatai ne mažiau kaip JPEG, TIFF ir PNG.</w:t>
            </w:r>
          </w:p>
          <w:p w14:paraId="2B396952" w14:textId="7FB887A7" w:rsidR="00680722" w:rsidRPr="00071F5A" w:rsidRDefault="00680722" w:rsidP="00B5583E">
            <w:pPr>
              <w:jc w:val="both"/>
              <w:rPr>
                <w:rFonts w:ascii="Times New Roman" w:hAnsi="Times New Roman" w:cs="Times New Roman"/>
                <w:lang w:val="lt-LT"/>
              </w:rPr>
            </w:pPr>
            <w:r w:rsidRPr="00071F5A">
              <w:rPr>
                <w:rFonts w:ascii="Times New Roman" w:hAnsi="Times New Roman" w:cs="Times New Roman"/>
                <w:lang w:val="lt-LT"/>
              </w:rPr>
              <w:t>Prietaisas turi būti stalinio tipo, tinkamas eksploatuoti bendrosios paskirties laboratorijoje be specialios infrastruktūros.</w:t>
            </w:r>
          </w:p>
        </w:tc>
        <w:tc>
          <w:tcPr>
            <w:tcW w:w="4820" w:type="dxa"/>
          </w:tcPr>
          <w:p w14:paraId="548A42C8" w14:textId="104D515E" w:rsidR="00680722" w:rsidRPr="00071F5A" w:rsidRDefault="00680722" w:rsidP="00CA5037">
            <w:pPr>
              <w:rPr>
                <w:rFonts w:ascii="Times New Roman" w:hAnsi="Times New Roman" w:cs="Times New Roman"/>
                <w:i/>
                <w:lang w:val="lt-LT"/>
              </w:rPr>
            </w:pPr>
          </w:p>
        </w:tc>
      </w:tr>
      <w:tr w:rsidR="00A04019" w:rsidRPr="00071F5A" w14:paraId="324D237C" w14:textId="77777777" w:rsidTr="00B30ED0">
        <w:tc>
          <w:tcPr>
            <w:tcW w:w="10060" w:type="dxa"/>
            <w:gridSpan w:val="2"/>
            <w:shd w:val="clear" w:color="auto" w:fill="D1D1D1" w:themeFill="background2" w:themeFillShade="E6"/>
          </w:tcPr>
          <w:p w14:paraId="70E59334" w14:textId="73370BCC" w:rsidR="00A04019" w:rsidRPr="00A04019" w:rsidRDefault="00A04019" w:rsidP="00A04019">
            <w:pPr>
              <w:pStyle w:val="ListParagraph"/>
              <w:numPr>
                <w:ilvl w:val="0"/>
                <w:numId w:val="16"/>
              </w:numPr>
              <w:rPr>
                <w:rFonts w:ascii="Times New Roman" w:hAnsi="Times New Roman" w:cs="Times New Roman"/>
                <w:lang w:val="lt-LT"/>
              </w:rPr>
            </w:pPr>
            <w:r w:rsidRPr="00A04019">
              <w:rPr>
                <w:rFonts w:ascii="Times New Roman" w:hAnsi="Times New Roman" w:cs="Times New Roman"/>
                <w:lang w:val="lt-LT"/>
              </w:rPr>
              <w:lastRenderedPageBreak/>
              <w:t>SED ir EDS sistemos</w:t>
            </w:r>
          </w:p>
        </w:tc>
      </w:tr>
      <w:tr w:rsidR="00FE5749" w:rsidRPr="00071F5A" w14:paraId="3DD80FAE" w14:textId="77777777" w:rsidTr="00A13E36">
        <w:tc>
          <w:tcPr>
            <w:tcW w:w="5240" w:type="dxa"/>
          </w:tcPr>
          <w:p w14:paraId="4010C25C" w14:textId="77777777"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EDS detektorius - silicio dreifo detektorius (SDD) arba lygiavertis.</w:t>
            </w:r>
          </w:p>
          <w:p w14:paraId="5DFD0B6D" w14:textId="77777777"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EDS sistema turi užtikrinti elementų identifikavimą ne siauresniame intervale kaip B-</w:t>
            </w:r>
            <w:proofErr w:type="spellStart"/>
            <w:r w:rsidRPr="00071F5A">
              <w:rPr>
                <w:rFonts w:ascii="Times New Roman" w:hAnsi="Times New Roman" w:cs="Times New Roman"/>
                <w:lang w:val="lt-LT"/>
              </w:rPr>
              <w:t>Cf</w:t>
            </w:r>
            <w:proofErr w:type="spellEnd"/>
            <w:r w:rsidRPr="00071F5A">
              <w:rPr>
                <w:rFonts w:ascii="Times New Roman" w:hAnsi="Times New Roman" w:cs="Times New Roman"/>
                <w:lang w:val="lt-LT"/>
              </w:rPr>
              <w:t xml:space="preserve"> arba lygiavertį elementinės analizės diapazoną.</w:t>
            </w:r>
          </w:p>
          <w:p w14:paraId="4FAC43CA" w14:textId="6F268382"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 xml:space="preserve">Energijos skiriamoji geba ne blogesnė kaip 135 </w:t>
            </w:r>
            <w:proofErr w:type="spellStart"/>
            <w:r w:rsidRPr="00071F5A">
              <w:rPr>
                <w:rFonts w:ascii="Times New Roman" w:hAnsi="Times New Roman" w:cs="Times New Roman"/>
                <w:lang w:val="lt-LT"/>
              </w:rPr>
              <w:t>eV</w:t>
            </w:r>
            <w:proofErr w:type="spellEnd"/>
            <w:r w:rsidRPr="00071F5A">
              <w:rPr>
                <w:rFonts w:ascii="Times New Roman" w:hAnsi="Times New Roman" w:cs="Times New Roman"/>
                <w:lang w:val="lt-LT"/>
              </w:rPr>
              <w:t xml:space="preserve"> (</w:t>
            </w:r>
            <w:proofErr w:type="spellStart"/>
            <w:r w:rsidRPr="00071F5A">
              <w:rPr>
                <w:rFonts w:ascii="Times New Roman" w:hAnsi="Times New Roman" w:cs="Times New Roman"/>
                <w:lang w:val="lt-LT"/>
              </w:rPr>
              <w:t>Mn</w:t>
            </w:r>
            <w:proofErr w:type="spellEnd"/>
            <w:r w:rsidRPr="00071F5A">
              <w:rPr>
                <w:rFonts w:ascii="Times New Roman" w:hAnsi="Times New Roman" w:cs="Times New Roman"/>
                <w:lang w:val="lt-LT"/>
              </w:rPr>
              <w:t xml:space="preserve"> Kα) arba lygiavertė.</w:t>
            </w:r>
          </w:p>
          <w:p w14:paraId="1EB18B81" w14:textId="77777777"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 xml:space="preserve">EDS sistema turi palaikyti automatinį elementų atpažinimą, spektrų </w:t>
            </w:r>
            <w:proofErr w:type="spellStart"/>
            <w:r w:rsidRPr="00071F5A">
              <w:rPr>
                <w:rFonts w:ascii="Times New Roman" w:hAnsi="Times New Roman" w:cs="Times New Roman"/>
                <w:lang w:val="lt-LT"/>
              </w:rPr>
              <w:t>dekonvoliuciją</w:t>
            </w:r>
            <w:proofErr w:type="spellEnd"/>
            <w:r w:rsidRPr="00071F5A">
              <w:rPr>
                <w:rFonts w:ascii="Times New Roman" w:hAnsi="Times New Roman" w:cs="Times New Roman"/>
                <w:lang w:val="lt-LT"/>
              </w:rPr>
              <w:t>, kiekybinę ir/ar pusiau kiekybinę analizę, elementinių žemėlapių sudarymą ir linijinę analizę.</w:t>
            </w:r>
          </w:p>
          <w:p w14:paraId="1C4195A7" w14:textId="77777777"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EDS sistema turi būti pilnai integruota į mikroskopo aparatūrą ir vartotojo sąsają, be atskiros išorinės elektronų pluošto valdymo įrangos.</w:t>
            </w:r>
          </w:p>
          <w:p w14:paraId="1B16ED94" w14:textId="77777777"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 xml:space="preserve">SED detektorius - </w:t>
            </w:r>
            <w:proofErr w:type="spellStart"/>
            <w:r w:rsidRPr="00071F5A">
              <w:rPr>
                <w:rFonts w:ascii="Times New Roman" w:hAnsi="Times New Roman" w:cs="Times New Roman"/>
                <w:lang w:val="lt-LT"/>
              </w:rPr>
              <w:t>Everhart-Thornley</w:t>
            </w:r>
            <w:proofErr w:type="spellEnd"/>
            <w:r w:rsidRPr="00071F5A">
              <w:rPr>
                <w:rFonts w:ascii="Times New Roman" w:hAnsi="Times New Roman" w:cs="Times New Roman"/>
                <w:lang w:val="lt-LT"/>
              </w:rPr>
              <w:t xml:space="preserve"> tipo arba lygiavertis.</w:t>
            </w:r>
          </w:p>
          <w:p w14:paraId="2BD5AF08" w14:textId="1430AEE2"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Turi būti galimybė realiuoju laiku atvaizduoti ir/ar derinti atgal išsklaidytų bei antrinių elektronų vaizdus.</w:t>
            </w:r>
          </w:p>
        </w:tc>
        <w:tc>
          <w:tcPr>
            <w:tcW w:w="4820" w:type="dxa"/>
          </w:tcPr>
          <w:p w14:paraId="3FA87D34" w14:textId="46B4FEE3" w:rsidR="00FE5749" w:rsidRPr="00071F5A" w:rsidRDefault="00FE5749" w:rsidP="00A81E3C">
            <w:pPr>
              <w:rPr>
                <w:rFonts w:ascii="Times New Roman" w:hAnsi="Times New Roman" w:cs="Times New Roman"/>
                <w:lang w:val="lt-LT"/>
              </w:rPr>
            </w:pPr>
          </w:p>
        </w:tc>
      </w:tr>
      <w:tr w:rsidR="00A04019" w:rsidRPr="00071F5A" w14:paraId="0AC0D1C5" w14:textId="77777777" w:rsidTr="00401F65">
        <w:tc>
          <w:tcPr>
            <w:tcW w:w="5240" w:type="dxa"/>
            <w:shd w:val="clear" w:color="auto" w:fill="D1D1D1" w:themeFill="background2" w:themeFillShade="E6"/>
          </w:tcPr>
          <w:p w14:paraId="64F2B71F" w14:textId="15689973" w:rsidR="00A04019" w:rsidRPr="00A04019" w:rsidRDefault="00A04019" w:rsidP="00A04019">
            <w:pPr>
              <w:pStyle w:val="ListParagraph"/>
              <w:numPr>
                <w:ilvl w:val="0"/>
                <w:numId w:val="16"/>
              </w:numPr>
              <w:rPr>
                <w:rFonts w:ascii="Times New Roman" w:hAnsi="Times New Roman" w:cs="Times New Roman"/>
                <w:lang w:val="lt-LT"/>
              </w:rPr>
            </w:pPr>
            <w:r w:rsidRPr="00A04019">
              <w:rPr>
                <w:rFonts w:ascii="Times New Roman" w:hAnsi="Times New Roman" w:cs="Times New Roman"/>
                <w:lang w:val="lt-LT"/>
              </w:rPr>
              <w:t>Programinė įranga</w:t>
            </w:r>
          </w:p>
        </w:tc>
        <w:tc>
          <w:tcPr>
            <w:tcW w:w="4820" w:type="dxa"/>
            <w:shd w:val="clear" w:color="auto" w:fill="D1D1D1" w:themeFill="background2" w:themeFillShade="E6"/>
          </w:tcPr>
          <w:p w14:paraId="4E681A2B" w14:textId="77777777" w:rsidR="00A04019" w:rsidRPr="00071F5A" w:rsidRDefault="00A04019" w:rsidP="00C0494A">
            <w:pPr>
              <w:rPr>
                <w:rFonts w:ascii="Times New Roman" w:hAnsi="Times New Roman" w:cs="Times New Roman"/>
                <w:lang w:val="lt-LT"/>
              </w:rPr>
            </w:pPr>
          </w:p>
        </w:tc>
      </w:tr>
      <w:tr w:rsidR="00FE5749" w:rsidRPr="00071F5A" w14:paraId="38F845A0" w14:textId="77777777" w:rsidTr="00FC230C">
        <w:tc>
          <w:tcPr>
            <w:tcW w:w="5240" w:type="dxa"/>
          </w:tcPr>
          <w:p w14:paraId="4100BD86" w14:textId="19A85C7C"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Programinė įranga turi leisti valdyti mikroskopo koloną, mėginio staliuką, vakuumo sistemą, vaizdo gavimą ir EDS analizę vienoje integruotoje aplinkoje.</w:t>
            </w:r>
          </w:p>
          <w:p w14:paraId="5473A11C" w14:textId="77777777"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Turi būti užtikrintas didelio ploto vaizdų surinkimas, sujungimas ir žemėlapių sudarymas, su galimybe pasirinkti analizuojamas sritis optiniame ir/ar elektroniniame vaizde.</w:t>
            </w:r>
          </w:p>
          <w:p w14:paraId="72F88A6F" w14:textId="77777777"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 xml:space="preserve">Turi būti galimybė atlikti EDS taško, linijos ir ploto analizę, sudaryti elementinius žemėlapius, automatiškai atpažinti elementus, atlikti </w:t>
            </w:r>
            <w:proofErr w:type="spellStart"/>
            <w:r w:rsidRPr="00071F5A">
              <w:rPr>
                <w:rFonts w:ascii="Times New Roman" w:hAnsi="Times New Roman" w:cs="Times New Roman"/>
                <w:lang w:val="lt-LT"/>
              </w:rPr>
              <w:t>pikinę</w:t>
            </w:r>
            <w:proofErr w:type="spellEnd"/>
            <w:r w:rsidRPr="00071F5A">
              <w:rPr>
                <w:rFonts w:ascii="Times New Roman" w:hAnsi="Times New Roman" w:cs="Times New Roman"/>
                <w:lang w:val="lt-LT"/>
              </w:rPr>
              <w:t xml:space="preserve"> </w:t>
            </w:r>
            <w:proofErr w:type="spellStart"/>
            <w:r w:rsidRPr="00071F5A">
              <w:rPr>
                <w:rFonts w:ascii="Times New Roman" w:hAnsi="Times New Roman" w:cs="Times New Roman"/>
                <w:lang w:val="lt-LT"/>
              </w:rPr>
              <w:t>dekonvoliuciją</w:t>
            </w:r>
            <w:proofErr w:type="spellEnd"/>
            <w:r w:rsidRPr="00071F5A">
              <w:rPr>
                <w:rFonts w:ascii="Times New Roman" w:hAnsi="Times New Roman" w:cs="Times New Roman"/>
                <w:lang w:val="lt-LT"/>
              </w:rPr>
              <w:t xml:space="preserve"> ir pateikti kiekybinės ir/ar pusiau kiekybinės analizės rezultatus.</w:t>
            </w:r>
          </w:p>
          <w:p w14:paraId="43E3A74E" w14:textId="77777777"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Turi būti specializuotas modulis arba lygiavertis sprendinys pluoštinių struktūrų analizei, leidžiantis nustatyti bent pluoštų skersmenį, orientaciją, pasiskirstymą ir tarpusavio tarpų / porų charakteristikas.</w:t>
            </w:r>
          </w:p>
          <w:p w14:paraId="0F96333B" w14:textId="77777777"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Turi būti specializuotas modulis arba lygiavertis sprendinys dalelių analizei, leidžiantis nustatyti bent dalelių dydį, formą, skaičių ir pasiskirstymą.</w:t>
            </w:r>
          </w:p>
          <w:p w14:paraId="5272C50C" w14:textId="1549F77A"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Turi būti specializuotas modulis arba lygiavertis sprendinys bandinio 3D paviršiaus rekonstrukcijai ir paviršiaus šiurkštumo parametrų skaičiavimui.</w:t>
            </w:r>
          </w:p>
          <w:p w14:paraId="1124F3D8" w14:textId="5AFEF0C9" w:rsidR="00FE5749" w:rsidRPr="00071F5A" w:rsidRDefault="00FE5749" w:rsidP="00CE293C">
            <w:pPr>
              <w:jc w:val="both"/>
              <w:rPr>
                <w:rFonts w:ascii="Times New Roman" w:hAnsi="Times New Roman" w:cs="Times New Roman"/>
                <w:lang w:val="lt-LT"/>
              </w:rPr>
            </w:pPr>
            <w:r w:rsidRPr="00071F5A">
              <w:rPr>
                <w:rFonts w:ascii="Times New Roman" w:hAnsi="Times New Roman" w:cs="Times New Roman"/>
                <w:lang w:val="lt-LT"/>
              </w:rPr>
              <w:t xml:space="preserve">Programinė įranga turi būti įdiegta į komplektuojamą darbo stotį ir leisti eksportuoti vaizdus, matavimų lenteles bei ataskaitas bent į </w:t>
            </w:r>
            <w:r w:rsidRPr="00071F5A">
              <w:rPr>
                <w:rFonts w:ascii="Times New Roman" w:hAnsi="Times New Roman" w:cs="Times New Roman"/>
                <w:lang w:val="lt-LT"/>
              </w:rPr>
              <w:lastRenderedPageBreak/>
              <w:t>JPEG, TIFF, PNG, CSV ir PDF arba lygiaverčius formatus.</w:t>
            </w:r>
          </w:p>
        </w:tc>
        <w:tc>
          <w:tcPr>
            <w:tcW w:w="4820" w:type="dxa"/>
          </w:tcPr>
          <w:p w14:paraId="51AB7019" w14:textId="0DC7DD02" w:rsidR="00FE5749" w:rsidRPr="00071F5A" w:rsidRDefault="00FE5749" w:rsidP="00C0494A">
            <w:pPr>
              <w:rPr>
                <w:rFonts w:ascii="Times New Roman" w:hAnsi="Times New Roman" w:cs="Times New Roman"/>
                <w:lang w:val="lt-LT"/>
              </w:rPr>
            </w:pPr>
          </w:p>
        </w:tc>
      </w:tr>
      <w:tr w:rsidR="00A04019" w:rsidRPr="00071F5A" w14:paraId="4B3A5486" w14:textId="77777777" w:rsidTr="003C0144">
        <w:tc>
          <w:tcPr>
            <w:tcW w:w="10060" w:type="dxa"/>
            <w:gridSpan w:val="2"/>
            <w:shd w:val="clear" w:color="auto" w:fill="D1D1D1" w:themeFill="background2" w:themeFillShade="E6"/>
          </w:tcPr>
          <w:p w14:paraId="1251125E" w14:textId="222D4AAE" w:rsidR="00A04019" w:rsidRPr="00A04019" w:rsidRDefault="00A04019" w:rsidP="00A04019">
            <w:pPr>
              <w:pStyle w:val="ListParagraph"/>
              <w:numPr>
                <w:ilvl w:val="0"/>
                <w:numId w:val="16"/>
              </w:numPr>
              <w:rPr>
                <w:rFonts w:ascii="Times New Roman" w:hAnsi="Times New Roman" w:cs="Times New Roman"/>
                <w:lang w:val="lt-LT"/>
              </w:rPr>
            </w:pPr>
            <w:r w:rsidRPr="00A04019">
              <w:rPr>
                <w:rFonts w:ascii="Times New Roman" w:hAnsi="Times New Roman" w:cs="Times New Roman"/>
                <w:lang w:val="lt-LT"/>
              </w:rPr>
              <w:t>Sistemos funkcionalumas ir suderinamumas</w:t>
            </w:r>
          </w:p>
        </w:tc>
      </w:tr>
      <w:tr w:rsidR="00A04019" w:rsidRPr="00071F5A" w14:paraId="7306C5E8" w14:textId="77777777" w:rsidTr="009E0927">
        <w:tc>
          <w:tcPr>
            <w:tcW w:w="5240" w:type="dxa"/>
          </w:tcPr>
          <w:p w14:paraId="05653F4B" w14:textId="77777777" w:rsidR="00A04019" w:rsidRPr="00071F5A" w:rsidRDefault="00A04019" w:rsidP="00CE293C">
            <w:pPr>
              <w:jc w:val="both"/>
              <w:rPr>
                <w:rFonts w:ascii="Times New Roman" w:hAnsi="Times New Roman" w:cs="Times New Roman"/>
                <w:lang w:val="lt-LT"/>
              </w:rPr>
            </w:pPr>
            <w:r w:rsidRPr="00071F5A">
              <w:rPr>
                <w:rFonts w:ascii="Times New Roman" w:hAnsi="Times New Roman" w:cs="Times New Roman"/>
                <w:lang w:val="lt-LT"/>
              </w:rPr>
              <w:t>Visa sistema turi būti pilnai suderinta ir valdoma iš vieningos programinės aplinkos.</w:t>
            </w:r>
          </w:p>
          <w:p w14:paraId="1839C723" w14:textId="53118DBB" w:rsidR="00A04019" w:rsidRPr="00071F5A" w:rsidRDefault="00A04019" w:rsidP="00CE293C">
            <w:pPr>
              <w:jc w:val="both"/>
              <w:rPr>
                <w:rFonts w:ascii="Times New Roman" w:hAnsi="Times New Roman" w:cs="Times New Roman"/>
                <w:lang w:val="lt-LT"/>
              </w:rPr>
            </w:pPr>
            <w:r w:rsidRPr="00071F5A">
              <w:rPr>
                <w:rFonts w:ascii="Times New Roman" w:hAnsi="Times New Roman" w:cs="Times New Roman"/>
                <w:lang w:val="lt-LT"/>
              </w:rPr>
              <w:t xml:space="preserve">Įranga turi būti tinkama polimerinių pluoštinių membranų ir polimerinių membranų, naudojamų vandens valymo, </w:t>
            </w:r>
            <w:proofErr w:type="spellStart"/>
            <w:r w:rsidRPr="00071F5A">
              <w:rPr>
                <w:rFonts w:ascii="Times New Roman" w:hAnsi="Times New Roman" w:cs="Times New Roman"/>
                <w:lang w:val="lt-LT"/>
              </w:rPr>
              <w:t>osmoso</w:t>
            </w:r>
            <w:proofErr w:type="spellEnd"/>
            <w:r w:rsidRPr="00071F5A">
              <w:rPr>
                <w:rFonts w:ascii="Times New Roman" w:hAnsi="Times New Roman" w:cs="Times New Roman"/>
                <w:lang w:val="lt-LT"/>
              </w:rPr>
              <w:t xml:space="preserve">, jonų sulaikymo ir </w:t>
            </w:r>
            <w:proofErr w:type="spellStart"/>
            <w:r w:rsidRPr="00071F5A">
              <w:rPr>
                <w:rFonts w:ascii="Times New Roman" w:hAnsi="Times New Roman" w:cs="Times New Roman"/>
                <w:lang w:val="lt-LT"/>
              </w:rPr>
              <w:t>mikrofiltracijos</w:t>
            </w:r>
            <w:proofErr w:type="spellEnd"/>
            <w:r w:rsidRPr="00071F5A">
              <w:rPr>
                <w:rFonts w:ascii="Times New Roman" w:hAnsi="Times New Roman" w:cs="Times New Roman"/>
                <w:lang w:val="lt-LT"/>
              </w:rPr>
              <w:t xml:space="preserve"> srityse, analizei, taip pat aerozolio dalelių, filtrų, pluoštinių struktūrų, </w:t>
            </w:r>
            <w:proofErr w:type="spellStart"/>
            <w:r w:rsidRPr="00071F5A">
              <w:rPr>
                <w:rFonts w:ascii="Times New Roman" w:hAnsi="Times New Roman" w:cs="Times New Roman"/>
                <w:lang w:val="lt-LT"/>
              </w:rPr>
              <w:t>nanostruktūrų</w:t>
            </w:r>
            <w:proofErr w:type="spellEnd"/>
            <w:r w:rsidRPr="00071F5A">
              <w:rPr>
                <w:rFonts w:ascii="Times New Roman" w:hAnsi="Times New Roman" w:cs="Times New Roman"/>
                <w:lang w:val="lt-LT"/>
              </w:rPr>
              <w:t>, paviršių bei biologinių mėginių morfologinei ir elementinei analizei.</w:t>
            </w:r>
          </w:p>
          <w:p w14:paraId="7B99479A" w14:textId="77777777" w:rsidR="00A04019" w:rsidRPr="00071F5A" w:rsidRDefault="00A04019" w:rsidP="00CE293C">
            <w:pPr>
              <w:jc w:val="both"/>
              <w:rPr>
                <w:rFonts w:ascii="Times New Roman" w:hAnsi="Times New Roman" w:cs="Times New Roman"/>
                <w:lang w:val="lt-LT"/>
              </w:rPr>
            </w:pPr>
            <w:r w:rsidRPr="00071F5A">
              <w:rPr>
                <w:rFonts w:ascii="Times New Roman" w:hAnsi="Times New Roman" w:cs="Times New Roman"/>
                <w:lang w:val="lt-LT"/>
              </w:rPr>
              <w:t>Sistema turi būti tinkama eksploatuoti įprastoje laboratorinėje aplinkoje be specializuotos infrastruktūros; elektros maitinimas - vienfazis 100-240 V, 50/60 Hz arba lygiavertis.</w:t>
            </w:r>
          </w:p>
          <w:p w14:paraId="425CE07F" w14:textId="77777777" w:rsidR="00A04019" w:rsidRPr="00071F5A" w:rsidRDefault="00A04019" w:rsidP="00CE293C">
            <w:pPr>
              <w:jc w:val="both"/>
              <w:rPr>
                <w:rFonts w:ascii="Times New Roman" w:hAnsi="Times New Roman" w:cs="Times New Roman"/>
                <w:lang w:val="lt-LT"/>
              </w:rPr>
            </w:pPr>
            <w:r w:rsidRPr="00071F5A">
              <w:rPr>
                <w:rFonts w:ascii="Times New Roman" w:hAnsi="Times New Roman" w:cs="Times New Roman"/>
                <w:lang w:val="lt-LT"/>
              </w:rPr>
              <w:t>Darbo sąlygos - temperatūra 15-30 °C, santykinė drėgmė 20-80 % RH arba gamintojo nustatytos standartinės laboratorinės sąlygos.</w:t>
            </w:r>
          </w:p>
          <w:p w14:paraId="001D443A" w14:textId="77777777" w:rsidR="00A04019" w:rsidRPr="00071F5A" w:rsidRDefault="00A04019" w:rsidP="00CE293C">
            <w:pPr>
              <w:jc w:val="both"/>
              <w:rPr>
                <w:rFonts w:ascii="Times New Roman" w:hAnsi="Times New Roman" w:cs="Times New Roman"/>
                <w:lang w:val="lt-LT"/>
              </w:rPr>
            </w:pPr>
            <w:r w:rsidRPr="00071F5A">
              <w:rPr>
                <w:rFonts w:ascii="Times New Roman" w:hAnsi="Times New Roman" w:cs="Times New Roman"/>
                <w:lang w:val="lt-LT"/>
              </w:rPr>
              <w:t>Tiekėjas turi atlikti pristatymą, montavimą, paleidimą, visų programinių modulių aktyvavimą ir vartotojų apmokymą.</w:t>
            </w:r>
          </w:p>
          <w:p w14:paraId="0E4954E3" w14:textId="0E3F466B" w:rsidR="00A04019" w:rsidRPr="00071F5A" w:rsidRDefault="00A04019" w:rsidP="00CE293C">
            <w:pPr>
              <w:jc w:val="both"/>
              <w:rPr>
                <w:rFonts w:ascii="Times New Roman" w:hAnsi="Times New Roman" w:cs="Times New Roman"/>
                <w:lang w:val="lt-LT"/>
              </w:rPr>
            </w:pPr>
            <w:r w:rsidRPr="00071F5A">
              <w:rPr>
                <w:rFonts w:ascii="Times New Roman" w:hAnsi="Times New Roman" w:cs="Times New Roman"/>
                <w:lang w:val="lt-LT"/>
              </w:rPr>
              <w:t>Priėmimo metu tiekėjas turi pademonstruoti sistemos veikimą ir bent vieno nelaidaus arba silpnai laidaus polimerinio mėginio vaizdo gavimą be papildomo laidumą didinančio mėginio apdorojimo, naudojant siūlomą techninį sprendinį.</w:t>
            </w:r>
          </w:p>
        </w:tc>
        <w:tc>
          <w:tcPr>
            <w:tcW w:w="4820" w:type="dxa"/>
          </w:tcPr>
          <w:p w14:paraId="2E4A4A07" w14:textId="3E63924B" w:rsidR="00A04019" w:rsidRPr="00071F5A" w:rsidRDefault="00A04019" w:rsidP="00D35390">
            <w:pPr>
              <w:rPr>
                <w:rFonts w:ascii="Times New Roman" w:hAnsi="Times New Roman" w:cs="Times New Roman"/>
                <w:lang w:val="lt-LT"/>
              </w:rPr>
            </w:pPr>
          </w:p>
        </w:tc>
      </w:tr>
    </w:tbl>
    <w:p w14:paraId="3F3F0085" w14:textId="77777777" w:rsidR="009D7B72" w:rsidRPr="00071F5A" w:rsidRDefault="009D7B72">
      <w:pPr>
        <w:rPr>
          <w:rFonts w:ascii="Times New Roman" w:hAnsi="Times New Roman" w:cs="Times New Roman"/>
          <w:lang w:val="lt-LT"/>
        </w:rPr>
      </w:pPr>
    </w:p>
    <w:p w14:paraId="48F74C4A" w14:textId="77777777" w:rsidR="002336E0" w:rsidRPr="00071F5A" w:rsidRDefault="002336E0" w:rsidP="002336E0">
      <w:pPr>
        <w:pStyle w:val="ListParagraph"/>
        <w:numPr>
          <w:ilvl w:val="0"/>
          <w:numId w:val="15"/>
        </w:numPr>
        <w:spacing w:line="256" w:lineRule="auto"/>
        <w:jc w:val="both"/>
        <w:rPr>
          <w:rFonts w:ascii="Times New Roman" w:hAnsi="Times New Roman"/>
          <w:i/>
          <w:iCs/>
          <w:lang w:val="lt-LT" w:eastAsia="lt-LT"/>
        </w:rPr>
      </w:pPr>
      <w:r w:rsidRPr="00071F5A">
        <w:rPr>
          <w:rFonts w:ascii="Times New Roman" w:hAnsi="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523697E3" w14:textId="77777777" w:rsidR="002336E0" w:rsidRPr="00071F5A" w:rsidRDefault="002336E0" w:rsidP="002336E0">
      <w:pPr>
        <w:pStyle w:val="ListParagraph"/>
        <w:numPr>
          <w:ilvl w:val="0"/>
          <w:numId w:val="15"/>
        </w:numPr>
        <w:spacing w:line="256" w:lineRule="auto"/>
        <w:jc w:val="both"/>
        <w:rPr>
          <w:rFonts w:ascii="Times New Roman" w:hAnsi="Times New Roman" w:cs="Times New Roman"/>
          <w:b/>
          <w:bCs/>
          <w:color w:val="000000" w:themeColor="text1"/>
          <w:sz w:val="28"/>
          <w:szCs w:val="28"/>
          <w:lang w:val="lt-LT" w:eastAsia="lt-LT"/>
        </w:rPr>
      </w:pPr>
      <w:r w:rsidRPr="00071F5A">
        <w:rPr>
          <w:rFonts w:ascii="Times New Roman" w:hAnsi="Times New Roman"/>
          <w:i/>
          <w:iCs/>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071F5A">
        <w:rPr>
          <w:rFonts w:ascii="Times New Roman" w:hAnsi="Times New Roman" w:cs="Times New Roman"/>
          <w:bCs/>
          <w:i/>
          <w:lang w:val="lt-LT"/>
        </w:rPr>
        <w:t>reiškia, kad pirkėjas priima ir kitus dalyvių lygiaverčių prekių įrodymus.</w:t>
      </w:r>
      <w:r w:rsidRPr="00071F5A">
        <w:rPr>
          <w:rFonts w:ascii="Times New Roman" w:hAnsi="Times New Roman" w:cs="Times New Roman"/>
          <w:i/>
          <w:iCs/>
          <w:lang w:val="lt-LT"/>
        </w:rPr>
        <w:t xml:space="preserve"> Lygiavertiškumo įrodymas yra tiekėjo pareiga.</w:t>
      </w:r>
    </w:p>
    <w:p w14:paraId="26849FE8" w14:textId="77777777" w:rsidR="002336E0" w:rsidRPr="00071F5A" w:rsidRDefault="002336E0">
      <w:pPr>
        <w:rPr>
          <w:rFonts w:ascii="Times New Roman" w:hAnsi="Times New Roman" w:cs="Times New Roman"/>
          <w:lang w:val="lt-LT"/>
        </w:rPr>
      </w:pPr>
    </w:p>
    <w:sectPr w:rsidR="002336E0" w:rsidRPr="00071F5A" w:rsidSect="003246A5">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7D58F" w14:textId="77777777" w:rsidR="00E16174" w:rsidRDefault="00E16174">
      <w:pPr>
        <w:spacing w:after="0" w:line="240" w:lineRule="auto"/>
      </w:pPr>
      <w:r>
        <w:separator/>
      </w:r>
    </w:p>
  </w:endnote>
  <w:endnote w:type="continuationSeparator" w:id="0">
    <w:p w14:paraId="28C30954" w14:textId="77777777" w:rsidR="00E16174" w:rsidRDefault="00E16174">
      <w:pPr>
        <w:spacing w:after="0" w:line="240" w:lineRule="auto"/>
      </w:pPr>
      <w:r>
        <w:continuationSeparator/>
      </w:r>
    </w:p>
  </w:endnote>
  <w:endnote w:type="continuationNotice" w:id="1">
    <w:p w14:paraId="6F68F99C" w14:textId="77777777" w:rsidR="00E16174" w:rsidRDefault="00E161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3125" w14:textId="77777777" w:rsidR="00E16174" w:rsidRDefault="00E16174">
      <w:pPr>
        <w:spacing w:after="0" w:line="240" w:lineRule="auto"/>
      </w:pPr>
      <w:r>
        <w:separator/>
      </w:r>
    </w:p>
  </w:footnote>
  <w:footnote w:type="continuationSeparator" w:id="0">
    <w:p w14:paraId="3E69781F" w14:textId="77777777" w:rsidR="00E16174" w:rsidRDefault="00E16174">
      <w:pPr>
        <w:spacing w:after="0" w:line="240" w:lineRule="auto"/>
      </w:pPr>
      <w:r>
        <w:continuationSeparator/>
      </w:r>
    </w:p>
  </w:footnote>
  <w:footnote w:type="continuationNotice" w:id="1">
    <w:p w14:paraId="6D62AC7F" w14:textId="77777777" w:rsidR="00E16174" w:rsidRDefault="00E161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056362B"/>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020D0"/>
    <w:multiLevelType w:val="hybridMultilevel"/>
    <w:tmpl w:val="158E591C"/>
    <w:lvl w:ilvl="0" w:tplc="9A0C49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A61E6"/>
    <w:multiLevelType w:val="hybridMultilevel"/>
    <w:tmpl w:val="8B6AC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6909AE"/>
    <w:multiLevelType w:val="hybridMultilevel"/>
    <w:tmpl w:val="2FC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65E51"/>
    <w:multiLevelType w:val="hybridMultilevel"/>
    <w:tmpl w:val="FA96F394"/>
    <w:lvl w:ilvl="0" w:tplc="12B27584">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2531AB"/>
    <w:multiLevelType w:val="hybridMultilevel"/>
    <w:tmpl w:val="6CE4EF1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4" w15:restartNumberingAfterBreak="0">
    <w:nsid w:val="747C1165"/>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DB444ED"/>
    <w:multiLevelType w:val="hybridMultilevel"/>
    <w:tmpl w:val="ECCAAAB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285273">
    <w:abstractNumId w:val="3"/>
  </w:num>
  <w:num w:numId="2" w16cid:durableId="1536313735">
    <w:abstractNumId w:val="11"/>
  </w:num>
  <w:num w:numId="3" w16cid:durableId="1997800800">
    <w:abstractNumId w:val="6"/>
  </w:num>
  <w:num w:numId="4" w16cid:durableId="1704940413">
    <w:abstractNumId w:val="15"/>
  </w:num>
  <w:num w:numId="5" w16cid:durableId="1566449819">
    <w:abstractNumId w:val="9"/>
  </w:num>
  <w:num w:numId="6" w16cid:durableId="1179082474">
    <w:abstractNumId w:val="5"/>
  </w:num>
  <w:num w:numId="7" w16cid:durableId="1261184827">
    <w:abstractNumId w:val="8"/>
  </w:num>
  <w:num w:numId="8" w16cid:durableId="1260411095">
    <w:abstractNumId w:val="4"/>
  </w:num>
  <w:num w:numId="9" w16cid:durableId="756485790">
    <w:abstractNumId w:val="2"/>
  </w:num>
  <w:num w:numId="10" w16cid:durableId="1313561889">
    <w:abstractNumId w:val="14"/>
  </w:num>
  <w:num w:numId="11" w16cid:durableId="1796560561">
    <w:abstractNumId w:val="12"/>
  </w:num>
  <w:num w:numId="12" w16cid:durableId="1586185255">
    <w:abstractNumId w:val="13"/>
  </w:num>
  <w:num w:numId="13" w16cid:durableId="1092624517">
    <w:abstractNumId w:val="0"/>
  </w:num>
  <w:num w:numId="14" w16cid:durableId="201164">
    <w:abstractNumId w:val="1"/>
  </w:num>
  <w:num w:numId="15" w16cid:durableId="1005550397">
    <w:abstractNumId w:val="7"/>
  </w:num>
  <w:num w:numId="16" w16cid:durableId="13827034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13"/>
    <w:rsid w:val="00003A28"/>
    <w:rsid w:val="00005041"/>
    <w:rsid w:val="00006FB0"/>
    <w:rsid w:val="0001634E"/>
    <w:rsid w:val="000258CC"/>
    <w:rsid w:val="0004597A"/>
    <w:rsid w:val="000530B9"/>
    <w:rsid w:val="00064DF8"/>
    <w:rsid w:val="00071F5A"/>
    <w:rsid w:val="00081B36"/>
    <w:rsid w:val="000823E1"/>
    <w:rsid w:val="00084DEC"/>
    <w:rsid w:val="000909CA"/>
    <w:rsid w:val="00095012"/>
    <w:rsid w:val="000C0550"/>
    <w:rsid w:val="000C10C1"/>
    <w:rsid w:val="000D5A67"/>
    <w:rsid w:val="000D6CEE"/>
    <w:rsid w:val="000E4369"/>
    <w:rsid w:val="000F3966"/>
    <w:rsid w:val="000F3C99"/>
    <w:rsid w:val="000F4F41"/>
    <w:rsid w:val="000F6C85"/>
    <w:rsid w:val="00103102"/>
    <w:rsid w:val="00104839"/>
    <w:rsid w:val="00113260"/>
    <w:rsid w:val="00120241"/>
    <w:rsid w:val="00122A4C"/>
    <w:rsid w:val="0012337A"/>
    <w:rsid w:val="00125319"/>
    <w:rsid w:val="00126705"/>
    <w:rsid w:val="0012690B"/>
    <w:rsid w:val="00131B8C"/>
    <w:rsid w:val="0014205F"/>
    <w:rsid w:val="00142F99"/>
    <w:rsid w:val="00157CF6"/>
    <w:rsid w:val="001750E8"/>
    <w:rsid w:val="00181474"/>
    <w:rsid w:val="001943B5"/>
    <w:rsid w:val="001A283B"/>
    <w:rsid w:val="001A3961"/>
    <w:rsid w:val="001B2CD5"/>
    <w:rsid w:val="001B31CF"/>
    <w:rsid w:val="001B4E0E"/>
    <w:rsid w:val="001D0EE8"/>
    <w:rsid w:val="001D5B69"/>
    <w:rsid w:val="001D7507"/>
    <w:rsid w:val="001E3BC8"/>
    <w:rsid w:val="001E78B6"/>
    <w:rsid w:val="001F1FE9"/>
    <w:rsid w:val="001F59AD"/>
    <w:rsid w:val="002001D2"/>
    <w:rsid w:val="00204404"/>
    <w:rsid w:val="002205C0"/>
    <w:rsid w:val="0022280E"/>
    <w:rsid w:val="00223E41"/>
    <w:rsid w:val="002336E0"/>
    <w:rsid w:val="002405EB"/>
    <w:rsid w:val="002471BF"/>
    <w:rsid w:val="00247EEB"/>
    <w:rsid w:val="002625F0"/>
    <w:rsid w:val="00266076"/>
    <w:rsid w:val="002717C2"/>
    <w:rsid w:val="0027274B"/>
    <w:rsid w:val="00273571"/>
    <w:rsid w:val="00274B8D"/>
    <w:rsid w:val="00277F94"/>
    <w:rsid w:val="00282379"/>
    <w:rsid w:val="00285421"/>
    <w:rsid w:val="00290375"/>
    <w:rsid w:val="00293B78"/>
    <w:rsid w:val="00297D8A"/>
    <w:rsid w:val="002C4F53"/>
    <w:rsid w:val="002C5065"/>
    <w:rsid w:val="002C5BF7"/>
    <w:rsid w:val="002E0E52"/>
    <w:rsid w:val="002E1A56"/>
    <w:rsid w:val="002F3228"/>
    <w:rsid w:val="00302105"/>
    <w:rsid w:val="00305DC3"/>
    <w:rsid w:val="00307468"/>
    <w:rsid w:val="00313A70"/>
    <w:rsid w:val="00314DE3"/>
    <w:rsid w:val="003246A5"/>
    <w:rsid w:val="0032720A"/>
    <w:rsid w:val="00333AF1"/>
    <w:rsid w:val="00334C3E"/>
    <w:rsid w:val="003409A0"/>
    <w:rsid w:val="00351841"/>
    <w:rsid w:val="00370D0A"/>
    <w:rsid w:val="00372A35"/>
    <w:rsid w:val="00375793"/>
    <w:rsid w:val="003761E3"/>
    <w:rsid w:val="0037771B"/>
    <w:rsid w:val="00386E82"/>
    <w:rsid w:val="0039236D"/>
    <w:rsid w:val="003951A5"/>
    <w:rsid w:val="003B01EF"/>
    <w:rsid w:val="003C68D9"/>
    <w:rsid w:val="003C71D2"/>
    <w:rsid w:val="003D7050"/>
    <w:rsid w:val="003E23C0"/>
    <w:rsid w:val="0040018B"/>
    <w:rsid w:val="00402EAE"/>
    <w:rsid w:val="004106AE"/>
    <w:rsid w:val="00432163"/>
    <w:rsid w:val="00437DF1"/>
    <w:rsid w:val="004567D0"/>
    <w:rsid w:val="0046446B"/>
    <w:rsid w:val="00464F2A"/>
    <w:rsid w:val="00485094"/>
    <w:rsid w:val="00491BDE"/>
    <w:rsid w:val="004A6302"/>
    <w:rsid w:val="004B0FC5"/>
    <w:rsid w:val="004B3E92"/>
    <w:rsid w:val="004B7218"/>
    <w:rsid w:val="004C12D3"/>
    <w:rsid w:val="004C7006"/>
    <w:rsid w:val="004C7B56"/>
    <w:rsid w:val="004E0B95"/>
    <w:rsid w:val="004E14C6"/>
    <w:rsid w:val="004F3DBB"/>
    <w:rsid w:val="00503FCF"/>
    <w:rsid w:val="00504128"/>
    <w:rsid w:val="00512E02"/>
    <w:rsid w:val="0051582F"/>
    <w:rsid w:val="005179EF"/>
    <w:rsid w:val="00520B1C"/>
    <w:rsid w:val="00522296"/>
    <w:rsid w:val="00522D4F"/>
    <w:rsid w:val="005301C3"/>
    <w:rsid w:val="0053153B"/>
    <w:rsid w:val="005332E6"/>
    <w:rsid w:val="0053627A"/>
    <w:rsid w:val="00541C2D"/>
    <w:rsid w:val="005438FE"/>
    <w:rsid w:val="005659C8"/>
    <w:rsid w:val="00573FB8"/>
    <w:rsid w:val="00583F5A"/>
    <w:rsid w:val="0058531A"/>
    <w:rsid w:val="00586A25"/>
    <w:rsid w:val="00590898"/>
    <w:rsid w:val="005933AC"/>
    <w:rsid w:val="005944C4"/>
    <w:rsid w:val="00597E40"/>
    <w:rsid w:val="005B1AA5"/>
    <w:rsid w:val="005B7484"/>
    <w:rsid w:val="005C21BD"/>
    <w:rsid w:val="005D3F34"/>
    <w:rsid w:val="005D53AF"/>
    <w:rsid w:val="005D56B9"/>
    <w:rsid w:val="005E3D90"/>
    <w:rsid w:val="005F5B28"/>
    <w:rsid w:val="00606CD6"/>
    <w:rsid w:val="006207DE"/>
    <w:rsid w:val="00623E4D"/>
    <w:rsid w:val="00636508"/>
    <w:rsid w:val="006478F7"/>
    <w:rsid w:val="00656710"/>
    <w:rsid w:val="00656A9B"/>
    <w:rsid w:val="00660398"/>
    <w:rsid w:val="00673AA1"/>
    <w:rsid w:val="00675612"/>
    <w:rsid w:val="00680722"/>
    <w:rsid w:val="00684310"/>
    <w:rsid w:val="006864CB"/>
    <w:rsid w:val="006876A3"/>
    <w:rsid w:val="006A2730"/>
    <w:rsid w:val="006A7F5F"/>
    <w:rsid w:val="006B21ED"/>
    <w:rsid w:val="006C77C6"/>
    <w:rsid w:val="006D4F13"/>
    <w:rsid w:val="006E1738"/>
    <w:rsid w:val="006E1DA9"/>
    <w:rsid w:val="006E4D23"/>
    <w:rsid w:val="006F106A"/>
    <w:rsid w:val="007200FB"/>
    <w:rsid w:val="007278E8"/>
    <w:rsid w:val="00730661"/>
    <w:rsid w:val="0073070A"/>
    <w:rsid w:val="007320BD"/>
    <w:rsid w:val="0073351D"/>
    <w:rsid w:val="00734DD5"/>
    <w:rsid w:val="0074403B"/>
    <w:rsid w:val="00745D70"/>
    <w:rsid w:val="00746911"/>
    <w:rsid w:val="007506D3"/>
    <w:rsid w:val="00781FBA"/>
    <w:rsid w:val="007848D7"/>
    <w:rsid w:val="0079045E"/>
    <w:rsid w:val="007909A2"/>
    <w:rsid w:val="007A46FC"/>
    <w:rsid w:val="007A658E"/>
    <w:rsid w:val="007A6C8C"/>
    <w:rsid w:val="007B2C59"/>
    <w:rsid w:val="007B3BE5"/>
    <w:rsid w:val="007C0D46"/>
    <w:rsid w:val="007C3CE9"/>
    <w:rsid w:val="007D0305"/>
    <w:rsid w:val="007D0D2B"/>
    <w:rsid w:val="007D24C4"/>
    <w:rsid w:val="007E0DD9"/>
    <w:rsid w:val="007F7CC3"/>
    <w:rsid w:val="00801542"/>
    <w:rsid w:val="0080666A"/>
    <w:rsid w:val="0083154A"/>
    <w:rsid w:val="00833FA7"/>
    <w:rsid w:val="00835FAE"/>
    <w:rsid w:val="0085205D"/>
    <w:rsid w:val="00852765"/>
    <w:rsid w:val="00853C9E"/>
    <w:rsid w:val="0086716D"/>
    <w:rsid w:val="00870932"/>
    <w:rsid w:val="00871590"/>
    <w:rsid w:val="00876ACD"/>
    <w:rsid w:val="008912DD"/>
    <w:rsid w:val="008B2621"/>
    <w:rsid w:val="008B57AC"/>
    <w:rsid w:val="008D6439"/>
    <w:rsid w:val="008D79BA"/>
    <w:rsid w:val="008E2C12"/>
    <w:rsid w:val="008F3E3C"/>
    <w:rsid w:val="00910D04"/>
    <w:rsid w:val="00927C3E"/>
    <w:rsid w:val="00933CC4"/>
    <w:rsid w:val="00953699"/>
    <w:rsid w:val="00953BFB"/>
    <w:rsid w:val="009615E3"/>
    <w:rsid w:val="0098318F"/>
    <w:rsid w:val="009960B3"/>
    <w:rsid w:val="00996A4E"/>
    <w:rsid w:val="009A37C1"/>
    <w:rsid w:val="009A5067"/>
    <w:rsid w:val="009B5FA8"/>
    <w:rsid w:val="009C440E"/>
    <w:rsid w:val="009D7B72"/>
    <w:rsid w:val="009F2609"/>
    <w:rsid w:val="00A04019"/>
    <w:rsid w:val="00A100D6"/>
    <w:rsid w:val="00A16C6F"/>
    <w:rsid w:val="00A2371D"/>
    <w:rsid w:val="00A30E0D"/>
    <w:rsid w:val="00A30E93"/>
    <w:rsid w:val="00A35BC2"/>
    <w:rsid w:val="00A44961"/>
    <w:rsid w:val="00A4780A"/>
    <w:rsid w:val="00A55E9F"/>
    <w:rsid w:val="00A564A0"/>
    <w:rsid w:val="00A65EDA"/>
    <w:rsid w:val="00A6657A"/>
    <w:rsid w:val="00A66C64"/>
    <w:rsid w:val="00A67E46"/>
    <w:rsid w:val="00A75272"/>
    <w:rsid w:val="00A7647C"/>
    <w:rsid w:val="00A76C8A"/>
    <w:rsid w:val="00A81E3C"/>
    <w:rsid w:val="00A91EB4"/>
    <w:rsid w:val="00A938B8"/>
    <w:rsid w:val="00AE3467"/>
    <w:rsid w:val="00AF438F"/>
    <w:rsid w:val="00B0163C"/>
    <w:rsid w:val="00B07BDD"/>
    <w:rsid w:val="00B17322"/>
    <w:rsid w:val="00B201EA"/>
    <w:rsid w:val="00B24410"/>
    <w:rsid w:val="00B31B84"/>
    <w:rsid w:val="00B40DA9"/>
    <w:rsid w:val="00B476F0"/>
    <w:rsid w:val="00B531CE"/>
    <w:rsid w:val="00B5583E"/>
    <w:rsid w:val="00B807BC"/>
    <w:rsid w:val="00B83696"/>
    <w:rsid w:val="00B85B7F"/>
    <w:rsid w:val="00B867D2"/>
    <w:rsid w:val="00B904A9"/>
    <w:rsid w:val="00B9698D"/>
    <w:rsid w:val="00B96D21"/>
    <w:rsid w:val="00B9782D"/>
    <w:rsid w:val="00BA558D"/>
    <w:rsid w:val="00BB2C9E"/>
    <w:rsid w:val="00BC1B86"/>
    <w:rsid w:val="00BE31F2"/>
    <w:rsid w:val="00BF2873"/>
    <w:rsid w:val="00C00297"/>
    <w:rsid w:val="00C006CE"/>
    <w:rsid w:val="00C0238A"/>
    <w:rsid w:val="00C03E47"/>
    <w:rsid w:val="00C0494A"/>
    <w:rsid w:val="00C0761D"/>
    <w:rsid w:val="00C273EA"/>
    <w:rsid w:val="00C647C5"/>
    <w:rsid w:val="00C64DEF"/>
    <w:rsid w:val="00C8085D"/>
    <w:rsid w:val="00C83BBF"/>
    <w:rsid w:val="00C87672"/>
    <w:rsid w:val="00C906C2"/>
    <w:rsid w:val="00C9524C"/>
    <w:rsid w:val="00CA4D3C"/>
    <w:rsid w:val="00CA5037"/>
    <w:rsid w:val="00CA6964"/>
    <w:rsid w:val="00CD5193"/>
    <w:rsid w:val="00CD52FA"/>
    <w:rsid w:val="00CD5623"/>
    <w:rsid w:val="00CE1594"/>
    <w:rsid w:val="00CE26D9"/>
    <w:rsid w:val="00CE293C"/>
    <w:rsid w:val="00CF0A8B"/>
    <w:rsid w:val="00CF3BED"/>
    <w:rsid w:val="00CF4145"/>
    <w:rsid w:val="00D04289"/>
    <w:rsid w:val="00D3188B"/>
    <w:rsid w:val="00D31DD6"/>
    <w:rsid w:val="00D35390"/>
    <w:rsid w:val="00D37C5C"/>
    <w:rsid w:val="00D4664C"/>
    <w:rsid w:val="00D50F7A"/>
    <w:rsid w:val="00D53BAD"/>
    <w:rsid w:val="00D765CC"/>
    <w:rsid w:val="00D777F2"/>
    <w:rsid w:val="00D82624"/>
    <w:rsid w:val="00D82738"/>
    <w:rsid w:val="00D86293"/>
    <w:rsid w:val="00D938E6"/>
    <w:rsid w:val="00DA433C"/>
    <w:rsid w:val="00DC14F9"/>
    <w:rsid w:val="00DD3DA0"/>
    <w:rsid w:val="00DD4497"/>
    <w:rsid w:val="00DE3879"/>
    <w:rsid w:val="00DF1A55"/>
    <w:rsid w:val="00E054F0"/>
    <w:rsid w:val="00E1101E"/>
    <w:rsid w:val="00E16174"/>
    <w:rsid w:val="00E2313C"/>
    <w:rsid w:val="00E27774"/>
    <w:rsid w:val="00E3623D"/>
    <w:rsid w:val="00E540C9"/>
    <w:rsid w:val="00E65D88"/>
    <w:rsid w:val="00E7208B"/>
    <w:rsid w:val="00E7256D"/>
    <w:rsid w:val="00E97504"/>
    <w:rsid w:val="00EC34F5"/>
    <w:rsid w:val="00EC42B5"/>
    <w:rsid w:val="00EE02FB"/>
    <w:rsid w:val="00EE49ED"/>
    <w:rsid w:val="00F006BB"/>
    <w:rsid w:val="00F058BB"/>
    <w:rsid w:val="00F07330"/>
    <w:rsid w:val="00F14BF1"/>
    <w:rsid w:val="00F24D06"/>
    <w:rsid w:val="00F25B1E"/>
    <w:rsid w:val="00F25CEA"/>
    <w:rsid w:val="00F26FE1"/>
    <w:rsid w:val="00F332E4"/>
    <w:rsid w:val="00F37B01"/>
    <w:rsid w:val="00F4287A"/>
    <w:rsid w:val="00F5007B"/>
    <w:rsid w:val="00F501D1"/>
    <w:rsid w:val="00F561F4"/>
    <w:rsid w:val="00F73B12"/>
    <w:rsid w:val="00F863D1"/>
    <w:rsid w:val="00F933F8"/>
    <w:rsid w:val="00F9361B"/>
    <w:rsid w:val="00F9638F"/>
    <w:rsid w:val="00FA1278"/>
    <w:rsid w:val="00FA56EF"/>
    <w:rsid w:val="00FD4ACC"/>
    <w:rsid w:val="00FE174D"/>
    <w:rsid w:val="00FE5749"/>
    <w:rsid w:val="00FE6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A292E"/>
  <w15:chartTrackingRefBased/>
  <w15:docId w15:val="{66759BB4-7D43-41F6-BCC3-06CB62A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F13"/>
    <w:rPr>
      <w:rFonts w:eastAsiaTheme="majorEastAsia" w:cstheme="majorBidi"/>
      <w:color w:val="272727" w:themeColor="text1" w:themeTint="D8"/>
    </w:rPr>
  </w:style>
  <w:style w:type="paragraph" w:styleId="Title">
    <w:name w:val="Title"/>
    <w:basedOn w:val="Normal"/>
    <w:next w:val="Normal"/>
    <w:link w:val="TitleChar"/>
    <w:uiPriority w:val="10"/>
    <w:qFormat/>
    <w:rsid w:val="006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F13"/>
    <w:pPr>
      <w:spacing w:before="160"/>
      <w:jc w:val="center"/>
    </w:pPr>
    <w:rPr>
      <w:i/>
      <w:iCs/>
      <w:color w:val="404040" w:themeColor="text1" w:themeTint="BF"/>
    </w:rPr>
  </w:style>
  <w:style w:type="character" w:customStyle="1" w:styleId="QuoteChar">
    <w:name w:val="Quote Char"/>
    <w:basedOn w:val="DefaultParagraphFont"/>
    <w:link w:val="Quote"/>
    <w:uiPriority w:val="29"/>
    <w:rsid w:val="006D4F1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6D4F13"/>
    <w:pPr>
      <w:ind w:left="720"/>
      <w:contextualSpacing/>
    </w:pPr>
  </w:style>
  <w:style w:type="character" w:styleId="IntenseEmphasis">
    <w:name w:val="Intense Emphasis"/>
    <w:basedOn w:val="DefaultParagraphFont"/>
    <w:uiPriority w:val="21"/>
    <w:qFormat/>
    <w:rsid w:val="006D4F13"/>
    <w:rPr>
      <w:i/>
      <w:iCs/>
      <w:color w:val="0F4761" w:themeColor="accent1" w:themeShade="BF"/>
    </w:rPr>
  </w:style>
  <w:style w:type="paragraph" w:styleId="IntenseQuote">
    <w:name w:val="Intense Quote"/>
    <w:basedOn w:val="Normal"/>
    <w:next w:val="Normal"/>
    <w:link w:val="IntenseQuoteChar"/>
    <w:uiPriority w:val="30"/>
    <w:qFormat/>
    <w:rsid w:val="006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F13"/>
    <w:rPr>
      <w:i/>
      <w:iCs/>
      <w:color w:val="0F4761" w:themeColor="accent1" w:themeShade="BF"/>
    </w:rPr>
  </w:style>
  <w:style w:type="character" w:styleId="IntenseReference">
    <w:name w:val="Intense Reference"/>
    <w:basedOn w:val="DefaultParagraphFont"/>
    <w:uiPriority w:val="32"/>
    <w:qFormat/>
    <w:rsid w:val="006D4F13"/>
    <w:rPr>
      <w:b/>
      <w:bCs/>
      <w:smallCaps/>
      <w:color w:val="0F4761" w:themeColor="accent1" w:themeShade="BF"/>
      <w:spacing w:val="5"/>
    </w:rPr>
  </w:style>
  <w:style w:type="table" w:styleId="TableGrid">
    <w:name w:val="Table Grid"/>
    <w:basedOn w:val="TableNormal"/>
    <w:uiPriority w:val="39"/>
    <w:rsid w:val="0020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38FE"/>
    <w:rPr>
      <w:sz w:val="16"/>
      <w:szCs w:val="16"/>
    </w:rPr>
  </w:style>
  <w:style w:type="paragraph" w:styleId="CommentText">
    <w:name w:val="annotation text"/>
    <w:basedOn w:val="Normal"/>
    <w:link w:val="CommentTextChar"/>
    <w:uiPriority w:val="99"/>
    <w:unhideWhenUsed/>
    <w:rsid w:val="005438FE"/>
    <w:pPr>
      <w:spacing w:line="240" w:lineRule="auto"/>
    </w:pPr>
    <w:rPr>
      <w:sz w:val="20"/>
      <w:szCs w:val="20"/>
    </w:rPr>
  </w:style>
  <w:style w:type="character" w:customStyle="1" w:styleId="CommentTextChar">
    <w:name w:val="Comment Text Char"/>
    <w:basedOn w:val="DefaultParagraphFont"/>
    <w:link w:val="CommentText"/>
    <w:uiPriority w:val="99"/>
    <w:rsid w:val="005438FE"/>
    <w:rPr>
      <w:sz w:val="20"/>
      <w:szCs w:val="20"/>
    </w:rPr>
  </w:style>
  <w:style w:type="paragraph" w:styleId="CommentSubject">
    <w:name w:val="annotation subject"/>
    <w:basedOn w:val="CommentText"/>
    <w:next w:val="CommentText"/>
    <w:link w:val="CommentSubjectChar"/>
    <w:uiPriority w:val="99"/>
    <w:semiHidden/>
    <w:unhideWhenUsed/>
    <w:rsid w:val="005438FE"/>
    <w:rPr>
      <w:b/>
      <w:bCs/>
    </w:rPr>
  </w:style>
  <w:style w:type="character" w:customStyle="1" w:styleId="CommentSubjectChar">
    <w:name w:val="Comment Subject Char"/>
    <w:basedOn w:val="CommentTextChar"/>
    <w:link w:val="CommentSubject"/>
    <w:uiPriority w:val="99"/>
    <w:semiHidden/>
    <w:rsid w:val="005438FE"/>
    <w:rPr>
      <w:b/>
      <w:bCs/>
      <w:sz w:val="20"/>
      <w:szCs w:val="20"/>
    </w:rPr>
  </w:style>
  <w:style w:type="paragraph" w:styleId="Header">
    <w:name w:val="header"/>
    <w:basedOn w:val="Normal"/>
    <w:link w:val="HeaderChar"/>
    <w:uiPriority w:val="99"/>
    <w:unhideWhenUsed/>
    <w:rsid w:val="00D5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AD"/>
  </w:style>
  <w:style w:type="paragraph" w:styleId="Footer">
    <w:name w:val="footer"/>
    <w:basedOn w:val="Normal"/>
    <w:link w:val="FooterChar"/>
    <w:uiPriority w:val="99"/>
    <w:unhideWhenUsed/>
    <w:rsid w:val="00D53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A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52765"/>
  </w:style>
  <w:style w:type="paragraph" w:customStyle="1" w:styleId="Default">
    <w:name w:val="Default"/>
    <w:rsid w:val="00BA558D"/>
    <w:pPr>
      <w:autoSpaceDE w:val="0"/>
      <w:autoSpaceDN w:val="0"/>
      <w:adjustRightInd w:val="0"/>
      <w:spacing w:after="0" w:line="240" w:lineRule="auto"/>
    </w:pPr>
    <w:rPr>
      <w:rFonts w:ascii="Times New Roman" w:hAnsi="Times New Roman" w:cs="Times New Roman"/>
      <w:color w:val="000000"/>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3395">
      <w:bodyDiv w:val="1"/>
      <w:marLeft w:val="0"/>
      <w:marRight w:val="0"/>
      <w:marTop w:val="0"/>
      <w:marBottom w:val="0"/>
      <w:divBdr>
        <w:top w:val="none" w:sz="0" w:space="0" w:color="auto"/>
        <w:left w:val="none" w:sz="0" w:space="0" w:color="auto"/>
        <w:bottom w:val="none" w:sz="0" w:space="0" w:color="auto"/>
        <w:right w:val="none" w:sz="0" w:space="0" w:color="auto"/>
      </w:divBdr>
    </w:div>
    <w:div w:id="439493224">
      <w:bodyDiv w:val="1"/>
      <w:marLeft w:val="0"/>
      <w:marRight w:val="0"/>
      <w:marTop w:val="0"/>
      <w:marBottom w:val="0"/>
      <w:divBdr>
        <w:top w:val="none" w:sz="0" w:space="0" w:color="auto"/>
        <w:left w:val="none" w:sz="0" w:space="0" w:color="auto"/>
        <w:bottom w:val="none" w:sz="0" w:space="0" w:color="auto"/>
        <w:right w:val="none" w:sz="0" w:space="0" w:color="auto"/>
      </w:divBdr>
    </w:div>
    <w:div w:id="592009683">
      <w:bodyDiv w:val="1"/>
      <w:marLeft w:val="0"/>
      <w:marRight w:val="0"/>
      <w:marTop w:val="0"/>
      <w:marBottom w:val="0"/>
      <w:divBdr>
        <w:top w:val="none" w:sz="0" w:space="0" w:color="auto"/>
        <w:left w:val="none" w:sz="0" w:space="0" w:color="auto"/>
        <w:bottom w:val="none" w:sz="0" w:space="0" w:color="auto"/>
        <w:right w:val="none" w:sz="0" w:space="0" w:color="auto"/>
      </w:divBdr>
    </w:div>
    <w:div w:id="671374005">
      <w:bodyDiv w:val="1"/>
      <w:marLeft w:val="0"/>
      <w:marRight w:val="0"/>
      <w:marTop w:val="0"/>
      <w:marBottom w:val="0"/>
      <w:divBdr>
        <w:top w:val="none" w:sz="0" w:space="0" w:color="auto"/>
        <w:left w:val="none" w:sz="0" w:space="0" w:color="auto"/>
        <w:bottom w:val="none" w:sz="0" w:space="0" w:color="auto"/>
        <w:right w:val="none" w:sz="0" w:space="0" w:color="auto"/>
      </w:divBdr>
    </w:div>
    <w:div w:id="836573906">
      <w:bodyDiv w:val="1"/>
      <w:marLeft w:val="0"/>
      <w:marRight w:val="0"/>
      <w:marTop w:val="0"/>
      <w:marBottom w:val="0"/>
      <w:divBdr>
        <w:top w:val="none" w:sz="0" w:space="0" w:color="auto"/>
        <w:left w:val="none" w:sz="0" w:space="0" w:color="auto"/>
        <w:bottom w:val="none" w:sz="0" w:space="0" w:color="auto"/>
        <w:right w:val="none" w:sz="0" w:space="0" w:color="auto"/>
      </w:divBdr>
    </w:div>
    <w:div w:id="998311079">
      <w:bodyDiv w:val="1"/>
      <w:marLeft w:val="0"/>
      <w:marRight w:val="0"/>
      <w:marTop w:val="0"/>
      <w:marBottom w:val="0"/>
      <w:divBdr>
        <w:top w:val="none" w:sz="0" w:space="0" w:color="auto"/>
        <w:left w:val="none" w:sz="0" w:space="0" w:color="auto"/>
        <w:bottom w:val="none" w:sz="0" w:space="0" w:color="auto"/>
        <w:right w:val="none" w:sz="0" w:space="0" w:color="auto"/>
      </w:divBdr>
    </w:div>
    <w:div w:id="1062875089">
      <w:bodyDiv w:val="1"/>
      <w:marLeft w:val="0"/>
      <w:marRight w:val="0"/>
      <w:marTop w:val="0"/>
      <w:marBottom w:val="0"/>
      <w:divBdr>
        <w:top w:val="none" w:sz="0" w:space="0" w:color="auto"/>
        <w:left w:val="none" w:sz="0" w:space="0" w:color="auto"/>
        <w:bottom w:val="none" w:sz="0" w:space="0" w:color="auto"/>
        <w:right w:val="none" w:sz="0" w:space="0" w:color="auto"/>
      </w:divBdr>
    </w:div>
    <w:div w:id="1551384488">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E3E1-3EDF-46F5-8658-BD96381C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Pages>
  <Words>8590</Words>
  <Characters>4897</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Krugly</dc:creator>
  <cp:keywords/>
  <dc:description/>
  <cp:lastModifiedBy>Violeta Dumčienė</cp:lastModifiedBy>
  <cp:revision>112</cp:revision>
  <cp:lastPrinted>2026-04-08T13:11:00Z</cp:lastPrinted>
  <dcterms:created xsi:type="dcterms:W3CDTF">2026-04-08T07:14:00Z</dcterms:created>
  <dcterms:modified xsi:type="dcterms:W3CDTF">2026-04-10T05:26:00Z</dcterms:modified>
</cp:coreProperties>
</file>