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4CCACA2E" w:rsidR="00901430" w:rsidRPr="0001423F" w:rsidRDefault="00345F5D"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782566" w:rsidRDefault="000D294F" w:rsidP="000D294F">
      <w:pPr>
        <w:jc w:val="center"/>
        <w:rPr>
          <w:b/>
          <w:sz w:val="24"/>
          <w:szCs w:val="32"/>
          <w:lang w:val="lt-LT"/>
        </w:rPr>
      </w:pPr>
      <w:r w:rsidRPr="00782566">
        <w:rPr>
          <w:b/>
          <w:sz w:val="24"/>
          <w:szCs w:val="32"/>
          <w:lang w:val="lt-LT"/>
        </w:rPr>
        <w:t>PASIŪLYMAS</w:t>
      </w:r>
    </w:p>
    <w:p w14:paraId="08DFA558" w14:textId="5B3A0F64" w:rsidR="008B0A35" w:rsidRPr="00782566" w:rsidRDefault="000874B1" w:rsidP="008B0A35">
      <w:pPr>
        <w:spacing w:after="120" w:line="20" w:lineRule="atLeast"/>
        <w:contextualSpacing/>
        <w:jc w:val="center"/>
        <w:rPr>
          <w:rFonts w:cstheme="minorHAnsi"/>
          <w:b/>
          <w:bCs/>
          <w:sz w:val="24"/>
          <w:szCs w:val="24"/>
          <w:lang w:val="lt-LT"/>
        </w:rPr>
      </w:pPr>
      <w:r w:rsidRPr="00782566">
        <w:rPr>
          <w:b/>
          <w:sz w:val="24"/>
          <w:szCs w:val="24"/>
          <w:lang w:val="lt-LT"/>
        </w:rPr>
        <w:t>DĖL</w:t>
      </w:r>
      <w:r w:rsidRPr="00782566">
        <w:rPr>
          <w:b/>
          <w:noProof/>
          <w:sz w:val="24"/>
          <w:szCs w:val="24"/>
          <w:lang w:val="lt-LT"/>
        </w:rPr>
        <w:t xml:space="preserve"> </w:t>
      </w:r>
      <w:r w:rsidR="00782566" w:rsidRPr="00782566">
        <w:rPr>
          <w:rFonts w:cstheme="minorHAnsi"/>
          <w:b/>
          <w:bCs/>
          <w:sz w:val="24"/>
          <w:szCs w:val="24"/>
          <w:lang w:val="lt-LT"/>
        </w:rPr>
        <w:t>KELEIVIŲ VEŽIMO VIETINIO REGULIARAUS SUSISIEKIMO MARŠRUTU (NR. 4) PASLAUGOS</w:t>
      </w:r>
    </w:p>
    <w:p w14:paraId="3DBE257C" w14:textId="482EDF2B" w:rsidR="000874B1" w:rsidRPr="00782566" w:rsidRDefault="00782566" w:rsidP="008B0A35">
      <w:pPr>
        <w:jc w:val="center"/>
        <w:rPr>
          <w:b/>
          <w:noProof/>
          <w:sz w:val="24"/>
          <w:szCs w:val="24"/>
          <w:lang w:val="it-IT"/>
        </w:rPr>
      </w:pPr>
      <w:r w:rsidRPr="00782566">
        <w:rPr>
          <w:b/>
          <w:noProof/>
          <w:sz w:val="24"/>
          <w:szCs w:val="24"/>
          <w:lang w:val="it-IT"/>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782566" w:rsidRDefault="00901430" w:rsidP="00901430">
      <w:pPr>
        <w:numPr>
          <w:ilvl w:val="0"/>
          <w:numId w:val="3"/>
        </w:numPr>
        <w:tabs>
          <w:tab w:val="left" w:pos="993"/>
        </w:tabs>
        <w:ind w:left="0" w:firstLine="709"/>
        <w:jc w:val="center"/>
        <w:rPr>
          <w:b/>
          <w:bCs/>
          <w:sz w:val="24"/>
          <w:szCs w:val="24"/>
          <w:lang w:val="lt-LT" w:eastAsia="lt-LT"/>
        </w:rPr>
      </w:pPr>
      <w:r w:rsidRPr="00782566">
        <w:rPr>
          <w:b/>
          <w:bCs/>
          <w:sz w:val="24"/>
          <w:szCs w:val="24"/>
          <w:lang w:val="lt-LT"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82566"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82566"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82566"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82566"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82566"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82566"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82566"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1AFBEA85" w:rsidR="00901430" w:rsidRPr="00901430" w:rsidRDefault="00940F89"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2CB3855"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940F89">
        <w:rPr>
          <w:sz w:val="24"/>
          <w:szCs w:val="24"/>
          <w:lang w:val="lt-LT" w:eastAsia="lt-LT"/>
        </w:rPr>
        <w:t>mažos vertės skelbiamos apklausos</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t xml:space="preserve">PVM tarifo dydis – </w:t>
            </w:r>
            <w:r w:rsidRPr="00B5536A">
              <w:rPr>
                <w:rFonts w:ascii="Times New Roman" w:hAnsi="Times New Roman" w:cs="Times New Roman"/>
                <w:iCs/>
                <w:spacing w:val="-1"/>
                <w:sz w:val="22"/>
                <w:szCs w:val="22"/>
                <w:lang w:val="lt-LT"/>
              </w:rPr>
              <w:lastRenderedPageBreak/>
              <w:t>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įkainis su </w:t>
            </w:r>
            <w:r w:rsidRPr="00B5536A">
              <w:rPr>
                <w:rFonts w:ascii="Times New Roman" w:hAnsi="Times New Roman" w:cs="Times New Roman"/>
                <w:b/>
                <w:bCs/>
                <w:sz w:val="22"/>
                <w:szCs w:val="22"/>
                <w:lang w:val="lt-LT"/>
              </w:rPr>
              <w:lastRenderedPageBreak/>
              <w:t>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0547A6" w14:paraId="425979D6" w14:textId="7C59ED2C" w:rsidTr="000E6C77">
        <w:tc>
          <w:tcPr>
            <w:tcW w:w="301" w:type="pct"/>
            <w:tcBorders>
              <w:right w:val="single" w:sz="4" w:space="0" w:color="auto"/>
            </w:tcBorders>
          </w:tcPr>
          <w:p w14:paraId="66C15D50" w14:textId="2D98F91D" w:rsidR="00946314" w:rsidRPr="000547A6" w:rsidRDefault="00946314" w:rsidP="005614D9">
            <w:pPr>
              <w:jc w:val="both"/>
              <w:rPr>
                <w:rFonts w:ascii="Times New Roman" w:hAnsi="Times New Roman" w:cs="Times New Roman"/>
                <w:sz w:val="22"/>
                <w:szCs w:val="22"/>
                <w:lang w:val="lt-LT"/>
              </w:rPr>
            </w:pPr>
            <w:r w:rsidRPr="000547A6">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4BDD80D9" w14:textId="77777777" w:rsidR="00782566" w:rsidRPr="00782566" w:rsidRDefault="00782566" w:rsidP="00782566">
            <w:pPr>
              <w:jc w:val="both"/>
              <w:rPr>
                <w:rFonts w:ascii="Times New Roman" w:eastAsia="Calibri" w:hAnsi="Times New Roman" w:cs="Times New Roman"/>
                <w:color w:val="000000" w:themeColor="text1"/>
                <w:sz w:val="22"/>
                <w:szCs w:val="22"/>
                <w:lang w:val="lt-LT"/>
              </w:rPr>
            </w:pPr>
            <w:r w:rsidRPr="00782566">
              <w:rPr>
                <w:rFonts w:ascii="Times New Roman" w:eastAsia="Calibri" w:hAnsi="Times New Roman" w:cs="Times New Roman"/>
                <w:color w:val="000000" w:themeColor="text1"/>
                <w:sz w:val="22"/>
                <w:szCs w:val="22"/>
                <w:lang w:val="lt-LT"/>
              </w:rPr>
              <w:t>Keleivių vežimo vietinio</w:t>
            </w:r>
          </w:p>
          <w:p w14:paraId="0BA4E5DE" w14:textId="77777777" w:rsidR="00782566" w:rsidRPr="00782566" w:rsidRDefault="00782566" w:rsidP="00782566">
            <w:pPr>
              <w:jc w:val="both"/>
              <w:rPr>
                <w:rFonts w:ascii="Times New Roman" w:eastAsia="Calibri" w:hAnsi="Times New Roman" w:cs="Times New Roman"/>
                <w:color w:val="000000" w:themeColor="text1"/>
                <w:sz w:val="22"/>
                <w:szCs w:val="22"/>
                <w:lang w:val="lt-LT"/>
              </w:rPr>
            </w:pPr>
            <w:r w:rsidRPr="00782566">
              <w:rPr>
                <w:rFonts w:ascii="Times New Roman" w:eastAsia="Calibri" w:hAnsi="Times New Roman" w:cs="Times New Roman"/>
                <w:color w:val="000000" w:themeColor="text1"/>
                <w:sz w:val="22"/>
                <w:szCs w:val="22"/>
                <w:lang w:val="lt-LT"/>
              </w:rPr>
              <w:t>reguliaraus susisiekimo</w:t>
            </w:r>
          </w:p>
          <w:p w14:paraId="3C1AAA87" w14:textId="501331BE" w:rsidR="00946314" w:rsidRPr="000547A6" w:rsidRDefault="00782566" w:rsidP="00782566">
            <w:pPr>
              <w:jc w:val="both"/>
              <w:rPr>
                <w:rFonts w:ascii="Times New Roman" w:hAnsi="Times New Roman" w:cs="Times New Roman"/>
                <w:color w:val="0D0D0D"/>
                <w:sz w:val="22"/>
                <w:szCs w:val="22"/>
                <w:lang w:val="lt-LT"/>
              </w:rPr>
            </w:pPr>
            <w:r w:rsidRPr="00782566">
              <w:rPr>
                <w:rFonts w:ascii="Times New Roman" w:eastAsia="Calibri" w:hAnsi="Times New Roman" w:cs="Times New Roman"/>
                <w:color w:val="000000" w:themeColor="text1"/>
                <w:sz w:val="22"/>
                <w:szCs w:val="22"/>
                <w:lang w:val="lt-LT"/>
              </w:rPr>
              <w:t>maršrutu (Nr. 4) paslaugos</w:t>
            </w:r>
          </w:p>
        </w:tc>
        <w:tc>
          <w:tcPr>
            <w:tcW w:w="598" w:type="pct"/>
            <w:tcBorders>
              <w:top w:val="single" w:sz="4" w:space="0" w:color="auto"/>
              <w:left w:val="nil"/>
              <w:bottom w:val="single" w:sz="4" w:space="0" w:color="auto"/>
            </w:tcBorders>
          </w:tcPr>
          <w:p w14:paraId="13BF433F" w14:textId="41F39AAA" w:rsidR="00946314" w:rsidRPr="000547A6" w:rsidRDefault="00946314" w:rsidP="00814F4E">
            <w:pPr>
              <w:jc w:val="both"/>
              <w:rPr>
                <w:rFonts w:ascii="Times New Roman" w:hAnsi="Times New Roman" w:cs="Times New Roman"/>
                <w:bCs/>
                <w:sz w:val="22"/>
                <w:szCs w:val="22"/>
                <w:lang w:val="lt-LT" w:eastAsia="lt-LT"/>
              </w:rPr>
            </w:pPr>
            <w:r w:rsidRPr="000547A6">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0547A6"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0547A6"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0547A6" w:rsidRDefault="00946314" w:rsidP="00814F4E">
            <w:pPr>
              <w:jc w:val="both"/>
              <w:rPr>
                <w:rFonts w:ascii="Times New Roman" w:hAnsi="Times New Roman" w:cs="Times New Roman"/>
                <w:b/>
                <w:sz w:val="22"/>
                <w:szCs w:val="22"/>
                <w:lang w:val="lt-LT" w:eastAsia="lt-LT"/>
              </w:rPr>
            </w:pPr>
          </w:p>
        </w:tc>
      </w:tr>
    </w:tbl>
    <w:p w14:paraId="00A1C221" w14:textId="77777777" w:rsidR="000874B1" w:rsidRDefault="000874B1" w:rsidP="005614D9">
      <w:pPr>
        <w:jc w:val="both"/>
        <w:rPr>
          <w:rFonts w:eastAsia="Calibri"/>
          <w:sz w:val="24"/>
          <w:szCs w:val="24"/>
          <w:lang w:val="lt-LT"/>
        </w:rPr>
      </w:pPr>
    </w:p>
    <w:bookmarkEnd w:id="0"/>
    <w:p w14:paraId="78F3EBD3" w14:textId="3D3E1B30" w:rsidR="00B5536A" w:rsidRPr="004440CB" w:rsidRDefault="00B5536A" w:rsidP="00B5536A">
      <w:pPr>
        <w:ind w:firstLine="709"/>
        <w:jc w:val="both"/>
        <w:rPr>
          <w:rFonts w:eastAsia="Calibri"/>
          <w:sz w:val="24"/>
          <w:szCs w:val="24"/>
          <w:lang w:val="lt-LT"/>
        </w:rPr>
      </w:pPr>
      <w:r w:rsidRPr="004F45A2">
        <w:rPr>
          <w:rFonts w:eastAsia="Calibri"/>
          <w:sz w:val="24"/>
          <w:szCs w:val="24"/>
          <w:lang w:val="lt-LT"/>
        </w:rPr>
        <w:t>Sąlygin</w:t>
      </w:r>
      <w:r>
        <w:rPr>
          <w:rFonts w:eastAsia="Calibri"/>
          <w:sz w:val="24"/>
          <w:szCs w:val="24"/>
          <w:lang w:val="lt-LT"/>
        </w:rPr>
        <w:t>is</w:t>
      </w:r>
      <w:r w:rsidRPr="004F45A2">
        <w:rPr>
          <w:rFonts w:eastAsia="Calibri"/>
          <w:sz w:val="24"/>
          <w:szCs w:val="24"/>
          <w:lang w:val="lt-LT"/>
        </w:rPr>
        <w:t xml:space="preserve"> </w:t>
      </w:r>
      <w:r>
        <w:rPr>
          <w:rFonts w:eastAsia="Calibri"/>
          <w:sz w:val="24"/>
          <w:szCs w:val="24"/>
          <w:lang w:val="lt-LT"/>
        </w:rPr>
        <w:t>bendras įkainis</w:t>
      </w:r>
      <w:r w:rsidRPr="004F45A2">
        <w:rPr>
          <w:rFonts w:eastAsia="Calibri"/>
          <w:sz w:val="24"/>
          <w:szCs w:val="24"/>
          <w:lang w:val="lt-LT"/>
        </w:rPr>
        <w:t xml:space="preserve"> pasiūlymo vertinimui</w:t>
      </w:r>
      <w:r>
        <w:rPr>
          <w:rStyle w:val="FootnoteReference"/>
          <w:rFonts w:eastAsia="Calibri"/>
          <w:sz w:val="24"/>
          <w:szCs w:val="24"/>
          <w:lang w:val="lt-LT"/>
        </w:rPr>
        <w:footnoteReference w:id="3"/>
      </w:r>
      <w:r w:rsidRPr="004F45A2">
        <w:rPr>
          <w:rFonts w:eastAsia="Calibri"/>
          <w:sz w:val="24"/>
          <w:szCs w:val="24"/>
          <w:lang w:val="lt-LT"/>
        </w:rPr>
        <w:t xml:space="preserve">: </w:t>
      </w:r>
      <w:r>
        <w:rPr>
          <w:rFonts w:eastAsia="Calibri"/>
          <w:sz w:val="24"/>
          <w:szCs w:val="24"/>
          <w:lang w:val="lt-LT"/>
        </w:rPr>
        <w:t>6</w:t>
      </w:r>
      <w:r w:rsidRPr="004F45A2">
        <w:rPr>
          <w:rFonts w:eastAsia="Calibri"/>
          <w:sz w:val="24"/>
          <w:szCs w:val="24"/>
          <w:lang w:val="lt-LT"/>
        </w:rPr>
        <w:t xml:space="preserve"> stulpelio </w:t>
      </w:r>
      <w:r>
        <w:rPr>
          <w:rFonts w:eastAsia="Calibri"/>
          <w:sz w:val="24"/>
          <w:szCs w:val="24"/>
          <w:lang w:val="lt-LT"/>
        </w:rPr>
        <w:t>fiksuot</w:t>
      </w:r>
      <w:r w:rsidR="00782566">
        <w:rPr>
          <w:rFonts w:eastAsia="Calibri"/>
          <w:sz w:val="24"/>
          <w:szCs w:val="24"/>
          <w:lang w:val="lt-LT"/>
        </w:rPr>
        <w:t>o</w:t>
      </w:r>
      <w:r>
        <w:rPr>
          <w:rFonts w:eastAsia="Calibri"/>
          <w:sz w:val="24"/>
          <w:szCs w:val="24"/>
          <w:lang w:val="lt-LT"/>
        </w:rPr>
        <w:t xml:space="preserve"> įkain</w:t>
      </w:r>
      <w:r w:rsidR="00782566">
        <w:rPr>
          <w:rFonts w:eastAsia="Calibri"/>
          <w:sz w:val="24"/>
          <w:szCs w:val="24"/>
          <w:lang w:val="lt-LT"/>
        </w:rPr>
        <w:t>io</w:t>
      </w:r>
      <w:r w:rsidRPr="004F45A2">
        <w:rPr>
          <w:rFonts w:eastAsia="Calibri"/>
          <w:sz w:val="24"/>
          <w:szCs w:val="24"/>
          <w:lang w:val="lt-LT"/>
        </w:rPr>
        <w:t xml:space="preserve"> suma </w:t>
      </w:r>
      <w:r w:rsidRPr="004440CB">
        <w:rPr>
          <w:rFonts w:eastAsia="Calibri"/>
          <w:sz w:val="24"/>
          <w:szCs w:val="24"/>
          <w:lang w:val="lt-LT"/>
        </w:rPr>
        <w:t>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782566"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782566"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782566"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 xml:space="preserve">įrodymai, kad šie ištekliai bus prieinami per visą sutartinių įsipareigojimų vykdymo </w:t>
            </w:r>
            <w:r w:rsidRPr="00661F58">
              <w:rPr>
                <w:sz w:val="24"/>
                <w:szCs w:val="24"/>
                <w:lang w:val="lt-LT"/>
              </w:rPr>
              <w:lastRenderedPageBreak/>
              <w:t>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782566"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782566"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782566"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45177FC5"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 xml:space="preserve">(specialiųjų pirkimo sąlygų </w:t>
            </w:r>
            <w:r w:rsidR="002147BB">
              <w:rPr>
                <w:rFonts w:cstheme="minorHAnsi"/>
                <w:sz w:val="24"/>
                <w:szCs w:val="24"/>
                <w:lang w:val="lt-LT"/>
              </w:rPr>
              <w:t>3</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782566"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1C97240B"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 xml:space="preserve">(pagal Specialiųjų pirkimo sąlygų </w:t>
            </w:r>
            <w:r w:rsidR="002147BB">
              <w:rPr>
                <w:sz w:val="24"/>
                <w:szCs w:val="24"/>
                <w:lang w:val="lt-LT"/>
              </w:rPr>
              <w:t>6</w:t>
            </w:r>
            <w:r w:rsidR="00B472C5">
              <w:rPr>
                <w:sz w:val="24"/>
                <w:szCs w:val="24"/>
                <w:lang w:val="lt-LT"/>
              </w:rPr>
              <w:t>.1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52AC64F3" w:rsidR="00F629DA" w:rsidRDefault="00696544" w:rsidP="00F629DA">
            <w:pPr>
              <w:jc w:val="both"/>
              <w:rPr>
                <w:sz w:val="24"/>
                <w:szCs w:val="24"/>
                <w:lang w:val="lt-LT"/>
              </w:rPr>
            </w:pPr>
            <w:r>
              <w:rPr>
                <w:sz w:val="24"/>
                <w:szCs w:val="24"/>
                <w:lang w:val="lt-LT"/>
              </w:rPr>
              <w:t>8</w:t>
            </w:r>
            <w:r w:rsidR="00F629DA">
              <w:rPr>
                <w:sz w:val="24"/>
                <w:szCs w:val="24"/>
                <w:lang w:val="lt-LT"/>
              </w:rPr>
              <w:t xml:space="preserve">. </w:t>
            </w:r>
          </w:p>
        </w:tc>
        <w:tc>
          <w:tcPr>
            <w:tcW w:w="5259" w:type="dxa"/>
            <w:tcBorders>
              <w:top w:val="single" w:sz="4" w:space="0" w:color="auto"/>
              <w:left w:val="single" w:sz="4" w:space="0" w:color="auto"/>
              <w:bottom w:val="single" w:sz="4" w:space="0" w:color="auto"/>
              <w:right w:val="single" w:sz="4" w:space="0" w:color="auto"/>
            </w:tcBorders>
          </w:tcPr>
          <w:p w14:paraId="686B44BD" w14:textId="3AA9A408" w:rsidR="00F629DA" w:rsidRDefault="0057281F" w:rsidP="00F629DA">
            <w:pPr>
              <w:jc w:val="both"/>
              <w:rPr>
                <w:sz w:val="24"/>
                <w:szCs w:val="24"/>
                <w:lang w:val="lt-LT"/>
              </w:rPr>
            </w:pPr>
            <w:r>
              <w:rPr>
                <w:sz w:val="24"/>
                <w:szCs w:val="24"/>
                <w:lang w:val="lt-LT"/>
              </w:rPr>
              <w:t>ir t.t.</w:t>
            </w: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782566"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782566"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782566"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782566" w:rsidRDefault="00B43B4F" w:rsidP="00B43B4F">
            <w:pPr>
              <w:pStyle w:val="ListParagraph"/>
              <w:numPr>
                <w:ilvl w:val="0"/>
                <w:numId w:val="6"/>
              </w:numPr>
              <w:tabs>
                <w:tab w:val="left" w:pos="1156"/>
                <w:tab w:val="left" w:pos="1985"/>
              </w:tabs>
              <w:ind w:left="0" w:firstLine="731"/>
              <w:jc w:val="center"/>
              <w:rPr>
                <w:b/>
                <w:iCs/>
                <w:sz w:val="24"/>
                <w:szCs w:val="24"/>
                <w:lang w:val="lt-LT" w:eastAsia="lt-LT"/>
              </w:rPr>
            </w:pPr>
            <w:r w:rsidRPr="00782566">
              <w:rPr>
                <w:b/>
                <w:iCs/>
                <w:sz w:val="24"/>
                <w:szCs w:val="24"/>
                <w:lang w:val="lt-LT" w:eastAsia="lt-LT"/>
              </w:rPr>
              <w:t>INFORMACIJA APIE ŪKIO SUBJEKTUS, SUBTIEKĖJUS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lastRenderedPageBreak/>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782566"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782566"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782566"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82566"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82566"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82566"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782566"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3482" w14:textId="77777777" w:rsidR="000E79D3" w:rsidRDefault="000E79D3" w:rsidP="005614D9">
      <w:r>
        <w:separator/>
      </w:r>
    </w:p>
  </w:endnote>
  <w:endnote w:type="continuationSeparator" w:id="0">
    <w:p w14:paraId="324E320E" w14:textId="77777777" w:rsidR="000E79D3" w:rsidRDefault="000E79D3"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FC78" w14:textId="77777777" w:rsidR="000E79D3" w:rsidRDefault="000E79D3" w:rsidP="005614D9">
      <w:r>
        <w:separator/>
      </w:r>
    </w:p>
  </w:footnote>
  <w:footnote w:type="continuationSeparator" w:id="0">
    <w:p w14:paraId="4F5F128D" w14:textId="77777777" w:rsidR="000E79D3" w:rsidRDefault="000E79D3"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rsidRPr="00782566">
        <w:rPr>
          <w:lang w:val="lt-LT"/>
        </w:rP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 w:id="3">
    <w:p w14:paraId="0FE8ADC7" w14:textId="28E8E629" w:rsidR="00B5536A" w:rsidRPr="000E6573" w:rsidRDefault="00B5536A" w:rsidP="008959DD">
      <w:pPr>
        <w:pStyle w:val="FootnoteText"/>
        <w:tabs>
          <w:tab w:val="left" w:pos="851"/>
        </w:tabs>
        <w:ind w:left="0" w:firstLine="567"/>
        <w:rPr>
          <w:lang w:val="lt-LT"/>
        </w:rPr>
      </w:pPr>
      <w:r w:rsidRPr="000E6573">
        <w:rPr>
          <w:rStyle w:val="FootnoteReference"/>
          <w:lang w:val="lt-LT"/>
        </w:rPr>
        <w:footnoteRef/>
      </w:r>
      <w:r w:rsidRPr="000E6573">
        <w:rPr>
          <w:lang w:val="lt-LT"/>
        </w:rPr>
        <w:t xml:space="preserve"> Sąlyginis bendras įkainis turi atitikti pateiktų jo sudėtinių dalių sumą.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47A6"/>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E79D3"/>
    <w:rsid w:val="000F076A"/>
    <w:rsid w:val="0010338C"/>
    <w:rsid w:val="00103C24"/>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147BB"/>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45F5D"/>
    <w:rsid w:val="00346CDD"/>
    <w:rsid w:val="0036034B"/>
    <w:rsid w:val="00362F0D"/>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281F"/>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2566"/>
    <w:rsid w:val="007875A8"/>
    <w:rsid w:val="0079232D"/>
    <w:rsid w:val="007C1DA6"/>
    <w:rsid w:val="007E19BC"/>
    <w:rsid w:val="007F5FE0"/>
    <w:rsid w:val="00807F2A"/>
    <w:rsid w:val="008247C0"/>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0F89"/>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5536A"/>
    <w:rsid w:val="00B62300"/>
    <w:rsid w:val="00B81332"/>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144"/>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44F8B"/>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8252</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Irmantas Eidukaitis</cp:lastModifiedBy>
  <cp:revision>604</cp:revision>
  <cp:lastPrinted>2022-10-05T12:41:00Z</cp:lastPrinted>
  <dcterms:created xsi:type="dcterms:W3CDTF">2022-05-26T05:44:00Z</dcterms:created>
  <dcterms:modified xsi:type="dcterms:W3CDTF">2026-03-23T13:01:00Z</dcterms:modified>
</cp:coreProperties>
</file>