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47CE" w14:textId="6B49D4E6" w:rsidR="008C60CE" w:rsidRDefault="008C60CE" w:rsidP="007E4679">
      <w:pPr>
        <w:jc w:val="both"/>
        <w:rPr>
          <w:b/>
          <w:sz w:val="24"/>
          <w:szCs w:val="24"/>
          <w:lang w:val="lt-LT"/>
        </w:rPr>
      </w:pPr>
      <w:r w:rsidRPr="00C203CA">
        <w:rPr>
          <w:rFonts w:ascii="Jost" w:hAnsi="Jost" w:cs="Arial"/>
          <w:noProof/>
          <w:color w:val="3B3838" w:themeColor="background2" w:themeShade="40"/>
        </w:rPr>
        <w:drawing>
          <wp:inline distT="0" distB="0" distL="0" distR="0" wp14:anchorId="0A796FD9" wp14:editId="6FC487B5">
            <wp:extent cx="1248229" cy="512485"/>
            <wp:effectExtent l="0" t="0" r="0" b="0"/>
            <wp:docPr id="554350053"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7"/>
                    <a:stretch>
                      <a:fillRect/>
                    </a:stretch>
                  </pic:blipFill>
                  <pic:spPr>
                    <a:xfrm>
                      <a:off x="0" y="0"/>
                      <a:ext cx="1328878" cy="545597"/>
                    </a:xfrm>
                    <a:prstGeom prst="rect">
                      <a:avLst/>
                    </a:prstGeom>
                  </pic:spPr>
                </pic:pic>
              </a:graphicData>
            </a:graphic>
          </wp:inline>
        </w:drawing>
      </w:r>
    </w:p>
    <w:p w14:paraId="29CC704F" w14:textId="77777777" w:rsidR="008C60CE" w:rsidRDefault="008C60CE" w:rsidP="007E4679">
      <w:pPr>
        <w:jc w:val="both"/>
        <w:rPr>
          <w:b/>
          <w:sz w:val="24"/>
          <w:szCs w:val="24"/>
          <w:lang w:val="lt-LT"/>
        </w:rPr>
      </w:pPr>
    </w:p>
    <w:p w14:paraId="69F807A3" w14:textId="77777777" w:rsidR="008C60CE" w:rsidRDefault="008C60CE" w:rsidP="007E4679">
      <w:pPr>
        <w:jc w:val="both"/>
        <w:rPr>
          <w:b/>
          <w:sz w:val="24"/>
          <w:szCs w:val="24"/>
          <w:lang w:val="lt-LT"/>
        </w:rPr>
      </w:pPr>
    </w:p>
    <w:p w14:paraId="209D2E7C" w14:textId="22FD4976" w:rsidR="00AF0A9D" w:rsidRPr="001300A2" w:rsidRDefault="00AF0A9D" w:rsidP="007E4679">
      <w:pPr>
        <w:jc w:val="both"/>
        <w:rPr>
          <w:b/>
          <w:sz w:val="24"/>
          <w:szCs w:val="24"/>
          <w:lang w:val="lt-LT"/>
        </w:rPr>
      </w:pPr>
      <w:r w:rsidRPr="001300A2">
        <w:rPr>
          <w:b/>
          <w:sz w:val="24"/>
          <w:szCs w:val="24"/>
          <w:lang w:val="lt-LT"/>
        </w:rPr>
        <w:t>DĖL</w:t>
      </w:r>
      <w:r w:rsidR="00770154">
        <w:rPr>
          <w:b/>
          <w:sz w:val="24"/>
          <w:szCs w:val="24"/>
          <w:lang w:val="lt-LT"/>
        </w:rPr>
        <w:t xml:space="preserve"> ATSAKYMO Į PRAŠYMĄ PRATĘSTI RINKOS KONSULTACIJOS TERMINĄ</w:t>
      </w:r>
    </w:p>
    <w:p w14:paraId="490D1766" w14:textId="77777777" w:rsidR="00AF0A9D" w:rsidRPr="001300A2" w:rsidRDefault="00AF0A9D" w:rsidP="007E4679">
      <w:pPr>
        <w:jc w:val="both"/>
        <w:rPr>
          <w:b/>
          <w:sz w:val="24"/>
          <w:szCs w:val="24"/>
          <w:lang w:val="lt-LT"/>
        </w:rPr>
      </w:pPr>
    </w:p>
    <w:p w14:paraId="1CD58DD3" w14:textId="27228DDE" w:rsidR="00AF0A9D" w:rsidRPr="00F149A9" w:rsidRDefault="00AF0A9D" w:rsidP="002D64D6">
      <w:pPr>
        <w:pStyle w:val="Title"/>
        <w:jc w:val="both"/>
        <w:rPr>
          <w:rFonts w:ascii="Times New Roman" w:eastAsia="Times New Roman" w:hAnsi="Times New Roman" w:cs="Times New Roman"/>
          <w:iCs/>
          <w:spacing w:val="0"/>
          <w:kern w:val="0"/>
          <w:sz w:val="24"/>
          <w:szCs w:val="24"/>
          <w14:ligatures w14:val="none"/>
        </w:rPr>
      </w:pPr>
      <w:r w:rsidRPr="00F149A9">
        <w:rPr>
          <w:rFonts w:ascii="Times New Roman" w:eastAsia="Times New Roman" w:hAnsi="Times New Roman" w:cs="Times New Roman"/>
          <w:iCs/>
          <w:spacing w:val="0"/>
          <w:kern w:val="0"/>
          <w:sz w:val="24"/>
          <w:szCs w:val="24"/>
          <w14:ligatures w14:val="none"/>
        </w:rPr>
        <w:t>Viešoji įstaiga CPO LT (toliau</w:t>
      </w:r>
      <w:r w:rsidR="00B40AB3" w:rsidRPr="00F149A9">
        <w:rPr>
          <w:rFonts w:ascii="Times New Roman" w:eastAsia="Times New Roman" w:hAnsi="Times New Roman" w:cs="Times New Roman"/>
          <w:iCs/>
          <w:spacing w:val="0"/>
          <w:kern w:val="0"/>
          <w:sz w:val="24"/>
          <w:szCs w:val="24"/>
          <w14:ligatures w14:val="none"/>
        </w:rPr>
        <w:t xml:space="preserve"> – </w:t>
      </w:r>
      <w:r w:rsidRPr="00F149A9">
        <w:rPr>
          <w:rFonts w:ascii="Times New Roman" w:eastAsia="Times New Roman" w:hAnsi="Times New Roman" w:cs="Times New Roman"/>
          <w:iCs/>
          <w:spacing w:val="0"/>
          <w:kern w:val="0"/>
          <w:sz w:val="24"/>
          <w:szCs w:val="24"/>
          <w14:ligatures w14:val="none"/>
        </w:rPr>
        <w:t>perkančioji organizacija)</w:t>
      </w:r>
      <w:r w:rsidR="00B40AB3" w:rsidRPr="00F149A9">
        <w:rPr>
          <w:rFonts w:ascii="Times New Roman" w:eastAsia="Times New Roman" w:hAnsi="Times New Roman" w:cs="Times New Roman"/>
          <w:iCs/>
          <w:spacing w:val="0"/>
          <w:kern w:val="0"/>
          <w:sz w:val="24"/>
          <w:szCs w:val="24"/>
          <w14:ligatures w14:val="none"/>
        </w:rPr>
        <w:t>,</w:t>
      </w:r>
      <w:r w:rsidRPr="00F149A9">
        <w:rPr>
          <w:rFonts w:ascii="Times New Roman" w:eastAsia="Times New Roman" w:hAnsi="Times New Roman" w:cs="Times New Roman"/>
          <w:iCs/>
          <w:spacing w:val="0"/>
          <w:kern w:val="0"/>
          <w:sz w:val="24"/>
          <w:szCs w:val="24"/>
          <w14:ligatures w14:val="none"/>
        </w:rPr>
        <w:t xml:space="preserve"> siekdama tinkamai pasiruošti numatomam pirkimui „</w:t>
      </w:r>
      <w:r w:rsidR="00B50F06" w:rsidRPr="00F149A9">
        <w:rPr>
          <w:rFonts w:ascii="Times New Roman" w:eastAsia="Times New Roman" w:hAnsi="Times New Roman" w:cs="Times New Roman"/>
          <w:iCs/>
          <w:spacing w:val="0"/>
          <w:kern w:val="0"/>
          <w:sz w:val="24"/>
          <w:szCs w:val="24"/>
          <w14:ligatures w14:val="none"/>
        </w:rPr>
        <w:t>IT, tinklo paslaugų ir įrangos nuomos paslaug</w:t>
      </w:r>
      <w:r w:rsidR="002078CE" w:rsidRPr="00F149A9">
        <w:rPr>
          <w:rFonts w:ascii="Times New Roman" w:eastAsia="Times New Roman" w:hAnsi="Times New Roman" w:cs="Times New Roman"/>
          <w:iCs/>
          <w:spacing w:val="0"/>
          <w:kern w:val="0"/>
          <w:sz w:val="24"/>
          <w:szCs w:val="24"/>
          <w14:ligatures w14:val="none"/>
        </w:rPr>
        <w:t>os</w:t>
      </w:r>
      <w:r w:rsidR="00B50F06" w:rsidRPr="00F149A9">
        <w:rPr>
          <w:rFonts w:ascii="Times New Roman" w:eastAsia="Times New Roman" w:hAnsi="Times New Roman" w:cs="Times New Roman"/>
          <w:iCs/>
          <w:spacing w:val="0"/>
          <w:kern w:val="0"/>
          <w:sz w:val="24"/>
          <w:szCs w:val="24"/>
          <w14:ligatures w14:val="none"/>
        </w:rPr>
        <w:t xml:space="preserve"> 2027 m. ES pirmininkavimo renginiams</w:t>
      </w:r>
      <w:r w:rsidRPr="00F149A9">
        <w:rPr>
          <w:rFonts w:ascii="Times New Roman" w:eastAsia="Times New Roman" w:hAnsi="Times New Roman" w:cs="Times New Roman"/>
          <w:iCs/>
          <w:spacing w:val="0"/>
          <w:kern w:val="0"/>
          <w:sz w:val="24"/>
          <w:szCs w:val="24"/>
          <w14:ligatures w14:val="none"/>
        </w:rPr>
        <w:t xml:space="preserve">” (toliau – Pirkimas) pagal </w:t>
      </w:r>
      <w:r w:rsidR="00725BCA" w:rsidRPr="00F149A9">
        <w:rPr>
          <w:rFonts w:ascii="Times New Roman" w:eastAsia="Times New Roman" w:hAnsi="Times New Roman" w:cs="Times New Roman"/>
          <w:iCs/>
          <w:spacing w:val="0"/>
          <w:kern w:val="0"/>
          <w:sz w:val="24"/>
          <w:szCs w:val="24"/>
          <w14:ligatures w14:val="none"/>
        </w:rPr>
        <w:t xml:space="preserve">Lietuvos parodų ir kongresų centro „Litexpo", UAB </w:t>
      </w:r>
      <w:r w:rsidRPr="00F149A9">
        <w:rPr>
          <w:rFonts w:ascii="Times New Roman" w:eastAsia="Times New Roman" w:hAnsi="Times New Roman" w:cs="Times New Roman"/>
          <w:iCs/>
          <w:spacing w:val="0"/>
          <w:kern w:val="0"/>
          <w:sz w:val="24"/>
          <w:szCs w:val="24"/>
          <w14:ligatures w14:val="none"/>
        </w:rPr>
        <w:t xml:space="preserve">įgaliojimą, vadovaudamasi Lietuvos Respublikos viešųjų pirkimų įstatymo 27 straipsnio nuostatomis, </w:t>
      </w:r>
      <w:r w:rsidR="00770154" w:rsidRPr="00F149A9">
        <w:rPr>
          <w:rFonts w:ascii="Times New Roman" w:eastAsia="Times New Roman" w:hAnsi="Times New Roman" w:cs="Times New Roman"/>
          <w:iCs/>
          <w:spacing w:val="0"/>
          <w:kern w:val="0"/>
          <w:sz w:val="24"/>
          <w:szCs w:val="24"/>
          <w14:ligatures w14:val="none"/>
        </w:rPr>
        <w:t>paskelbusi</w:t>
      </w:r>
      <w:r w:rsidRPr="00F149A9">
        <w:rPr>
          <w:rFonts w:ascii="Times New Roman" w:eastAsia="Times New Roman" w:hAnsi="Times New Roman" w:cs="Times New Roman"/>
          <w:iCs/>
          <w:spacing w:val="0"/>
          <w:kern w:val="0"/>
          <w:sz w:val="24"/>
          <w:szCs w:val="24"/>
          <w14:ligatures w14:val="none"/>
        </w:rPr>
        <w:t xml:space="preserve"> konsultaciją su rinkos dalyviais</w:t>
      </w:r>
      <w:r w:rsidR="00770154" w:rsidRPr="00F149A9">
        <w:rPr>
          <w:rFonts w:ascii="Times New Roman" w:eastAsia="Times New Roman" w:hAnsi="Times New Roman" w:cs="Times New Roman"/>
          <w:iCs/>
          <w:spacing w:val="0"/>
          <w:kern w:val="0"/>
          <w:sz w:val="24"/>
          <w:szCs w:val="24"/>
          <w14:ligatures w14:val="none"/>
        </w:rPr>
        <w:t xml:space="preserve">, informuoja, kad gavo vieno iš </w:t>
      </w:r>
      <w:r w:rsidR="00721F7C" w:rsidRPr="00F149A9">
        <w:rPr>
          <w:rFonts w:ascii="Times New Roman" w:eastAsia="Times New Roman" w:hAnsi="Times New Roman" w:cs="Times New Roman"/>
          <w:iCs/>
          <w:spacing w:val="0"/>
          <w:kern w:val="0"/>
          <w:sz w:val="24"/>
          <w:szCs w:val="24"/>
          <w14:ligatures w14:val="none"/>
        </w:rPr>
        <w:t>rinkos dalyvio prašymą pratęsti terminą</w:t>
      </w:r>
      <w:r w:rsidR="00CC511A">
        <w:rPr>
          <w:rFonts w:ascii="Times New Roman" w:eastAsia="Times New Roman" w:hAnsi="Times New Roman" w:cs="Times New Roman"/>
          <w:iCs/>
          <w:spacing w:val="0"/>
          <w:kern w:val="0"/>
          <w:sz w:val="24"/>
          <w:szCs w:val="24"/>
          <w14:ligatures w14:val="none"/>
        </w:rPr>
        <w:t xml:space="preserve"> ir atsako į jį</w:t>
      </w:r>
      <w:r w:rsidR="00BB3F3D">
        <w:rPr>
          <w:rFonts w:ascii="Times New Roman" w:eastAsia="Times New Roman" w:hAnsi="Times New Roman" w:cs="Times New Roman"/>
          <w:iCs/>
          <w:spacing w:val="0"/>
          <w:kern w:val="0"/>
          <w:sz w:val="24"/>
          <w:szCs w:val="24"/>
          <w14:ligatures w14:val="none"/>
        </w:rPr>
        <w:t>.</w:t>
      </w:r>
    </w:p>
    <w:p w14:paraId="1AC6DBFE" w14:textId="77777777" w:rsidR="00E520E0" w:rsidRDefault="00E520E0" w:rsidP="00721F7C">
      <w:pPr>
        <w:jc w:val="both"/>
        <w:rPr>
          <w:b/>
          <w:bCs/>
          <w:i/>
          <w:iCs/>
          <w:sz w:val="24"/>
          <w:szCs w:val="24"/>
          <w:u w:val="single"/>
          <w:lang w:val="lt-LT"/>
        </w:rPr>
      </w:pPr>
    </w:p>
    <w:p w14:paraId="20839CD2" w14:textId="158B4446" w:rsidR="00721F7C" w:rsidRPr="00F977A4" w:rsidRDefault="002F5A50" w:rsidP="00721F7C">
      <w:pPr>
        <w:jc w:val="both"/>
        <w:rPr>
          <w:b/>
          <w:bCs/>
          <w:i/>
          <w:iCs/>
          <w:sz w:val="24"/>
          <w:szCs w:val="24"/>
          <w:u w:val="single"/>
          <w:lang w:val="lt-LT"/>
        </w:rPr>
      </w:pPr>
      <w:r w:rsidRPr="00F977A4">
        <w:rPr>
          <w:b/>
          <w:bCs/>
          <w:i/>
          <w:iCs/>
          <w:sz w:val="24"/>
          <w:szCs w:val="24"/>
          <w:u w:val="single"/>
          <w:lang w:val="lt-LT"/>
        </w:rPr>
        <w:t>Prašymas:</w:t>
      </w:r>
    </w:p>
    <w:p w14:paraId="21832490" w14:textId="5072CBCB" w:rsidR="00721F7C" w:rsidRPr="00F149A9" w:rsidRDefault="00721F7C" w:rsidP="00721F7C">
      <w:pPr>
        <w:jc w:val="both"/>
        <w:rPr>
          <w:sz w:val="24"/>
          <w:szCs w:val="24"/>
          <w:lang w:val="lt-LT"/>
        </w:rPr>
      </w:pPr>
      <w:r w:rsidRPr="00F149A9">
        <w:rPr>
          <w:sz w:val="24"/>
          <w:szCs w:val="24"/>
          <w:lang w:val="lt-LT"/>
        </w:rPr>
        <w:t>Atsižvelgdami į Jūsų paskelbtą rinkos konsultaciją dėl planuojamo viešojo pirkimo ir paviešintas pirkimo sąlygas bei techninę specifikaciją, norime atkreipti dėmesį į tai, kad šiuo metu nustatytas terminas pateikti pastabas, pasiūlymus ir atsakymus į rinkos konsultacijos klausimyną – iki 2026 m. balandžio 17 d. – yra objektyviai per trumpas. Paviešintų pirkimo sąlygų ir techninės specifikacijos apimtis yra labai didelė, dokumentai kompleksiški ir apima skirtingas kompetencijų sritis (techninę, teisinę, organizacinę, finansinę ir kt.). Siekiant pateikti kokybiškus, pagrįstus ir perkančiajai organizacijai realią naudą kuriančius pasiūlymus bei pastabas, būtinas kelių sričių specialistų įsitraukimas ir nuodugnus dokumentų įvertinimas. Tai objektyviai reikalauja daugiau laiko nei šiuo metu numatytas terminas. Pažymėtina, kad pagal Lietuvos Respublikos viešųjų pirkimų įstatymo 17 straipsnio 1 dalį, viešieji pirkimai turi būti vykdomi vadovaujantis skaidrumo, lygiateisiškumo, nediskriminavimo ir proporcingumo principais. Per trumpas terminas rinkos konsultacijoje riboja tiekėjų galimybes tinkamai įsigilinti į sąlygas ir pateikti argumentuotas pastabas, o tai gali lemti mažesnę gaunamų pasiūlymų kokybę ir siauresnę konkurenciją. Taip pat atkreipiame dėmesį, kad VPĮ numatyta rinkos konsultacijų paskirtis – sudaryti sąlygas perkančiosioms organizacijoms pasirengti pirkimui, iš anksto įvertinti rinkos galimybes, gauti profesionalias ir pagrįstas tiekėjų įžvalgas. Šis tikslas gali būti pasiektas tik tuo atveju, kai rinkos dalyviams sudaromos realios ir protingos galimybės tokias įžvalgas parengti. Atsižvelgdami į aukščiau išdėstytas aplinkybes, maloniai prašome pratęsti rinkos konsultacijos pasiūlymų, pastabų ir atsakymų pateikimo terminą iki 2026 m. balandžio 24 d. Toks termino pratęsimas leistų rinkos dalyviams pateikti kokybiškesnius, labiau pagrįstus pasiūlymus ir prisidėtų prie efektyvesnio, skaidresnio bei konkurencingesnio būsimo viešojo pirkimo. Dėkojame</w:t>
      </w:r>
      <w:r w:rsidR="00E125DA">
        <w:rPr>
          <w:sz w:val="24"/>
          <w:szCs w:val="24"/>
          <w:lang w:val="lt-LT"/>
        </w:rPr>
        <w:t>.</w:t>
      </w:r>
    </w:p>
    <w:p w14:paraId="01F0B5C9" w14:textId="77777777" w:rsidR="00770154" w:rsidRPr="00F149A9" w:rsidRDefault="00770154" w:rsidP="00E520E0">
      <w:pPr>
        <w:jc w:val="both"/>
        <w:rPr>
          <w:sz w:val="24"/>
          <w:szCs w:val="24"/>
          <w:lang w:val="lt-LT"/>
        </w:rPr>
      </w:pPr>
    </w:p>
    <w:p w14:paraId="1D846947" w14:textId="49162DAB" w:rsidR="00770154" w:rsidRPr="00F977A4" w:rsidRDefault="00F149A9" w:rsidP="002F5A50">
      <w:pPr>
        <w:jc w:val="both"/>
        <w:rPr>
          <w:b/>
          <w:bCs/>
          <w:i/>
          <w:iCs/>
          <w:sz w:val="24"/>
          <w:szCs w:val="24"/>
          <w:u w:val="single"/>
          <w:lang w:val="lt-LT"/>
        </w:rPr>
      </w:pPr>
      <w:r w:rsidRPr="00F977A4">
        <w:rPr>
          <w:b/>
          <w:bCs/>
          <w:i/>
          <w:iCs/>
          <w:sz w:val="24"/>
          <w:szCs w:val="24"/>
          <w:u w:val="single"/>
          <w:lang w:val="lt-LT"/>
        </w:rPr>
        <w:t>Litexpo a</w:t>
      </w:r>
      <w:r w:rsidR="002F5A50" w:rsidRPr="00F977A4">
        <w:rPr>
          <w:b/>
          <w:bCs/>
          <w:i/>
          <w:iCs/>
          <w:sz w:val="24"/>
          <w:szCs w:val="24"/>
          <w:u w:val="single"/>
          <w:lang w:val="lt-LT"/>
        </w:rPr>
        <w:t>tsakymas:</w:t>
      </w:r>
    </w:p>
    <w:p w14:paraId="3CD36C42" w14:textId="5464BAE5" w:rsidR="002F5A50" w:rsidRPr="00F149A9" w:rsidRDefault="00F149A9" w:rsidP="00F149A9">
      <w:pPr>
        <w:jc w:val="both"/>
        <w:rPr>
          <w:b/>
          <w:bCs/>
          <w:sz w:val="24"/>
          <w:szCs w:val="24"/>
          <w:lang w:val="lt-LT"/>
        </w:rPr>
      </w:pPr>
      <w:r w:rsidRPr="00F149A9">
        <w:rPr>
          <w:sz w:val="24"/>
          <w:szCs w:val="24"/>
          <w:lang w:val="lt-LT"/>
        </w:rPr>
        <w:t xml:space="preserve">Įvertinę išsakytas pastabas bei atsižvelgdami į tai, kad pirkimo dokumentai yra išsamūs ir apima skirtingas sritis, nusprendėme </w:t>
      </w:r>
      <w:r w:rsidR="000E3E84" w:rsidRPr="00F149A9">
        <w:rPr>
          <w:sz w:val="24"/>
          <w:szCs w:val="24"/>
          <w:lang w:val="lt-LT"/>
        </w:rPr>
        <w:t xml:space="preserve">pratęsti </w:t>
      </w:r>
      <w:r w:rsidRPr="00F149A9">
        <w:rPr>
          <w:sz w:val="24"/>
          <w:szCs w:val="24"/>
          <w:lang w:val="lt-LT"/>
        </w:rPr>
        <w:t xml:space="preserve">rinkos konsultacijos terminą </w:t>
      </w:r>
      <w:r w:rsidRPr="00F149A9">
        <w:rPr>
          <w:b/>
          <w:bCs/>
          <w:sz w:val="24"/>
          <w:szCs w:val="24"/>
          <w:lang w:val="lt-LT"/>
        </w:rPr>
        <w:t>iki 2026 m. balandžio 22 d. imtinai.</w:t>
      </w:r>
    </w:p>
    <w:p w14:paraId="40524BED" w14:textId="77777777" w:rsidR="002F5A50" w:rsidRPr="00F149A9" w:rsidRDefault="002F5A50" w:rsidP="002F5A50">
      <w:pPr>
        <w:jc w:val="both"/>
        <w:rPr>
          <w:b/>
          <w:bCs/>
          <w:sz w:val="24"/>
          <w:szCs w:val="24"/>
          <w:lang w:val="lt-LT"/>
        </w:rPr>
      </w:pPr>
    </w:p>
    <w:p w14:paraId="2F2D764F" w14:textId="77777777" w:rsidR="00770154" w:rsidRPr="00F149A9" w:rsidRDefault="00770154" w:rsidP="007E4679">
      <w:pPr>
        <w:ind w:firstLine="567"/>
        <w:jc w:val="both"/>
        <w:rPr>
          <w:sz w:val="24"/>
          <w:szCs w:val="24"/>
          <w:lang w:val="lt-LT"/>
        </w:rPr>
      </w:pPr>
    </w:p>
    <w:p w14:paraId="463AA6D7" w14:textId="77777777" w:rsidR="00770154" w:rsidRPr="00F149A9" w:rsidRDefault="00770154" w:rsidP="007E4679">
      <w:pPr>
        <w:ind w:firstLine="567"/>
        <w:jc w:val="both"/>
        <w:rPr>
          <w:sz w:val="24"/>
          <w:szCs w:val="24"/>
          <w:lang w:val="lt-LT"/>
        </w:rPr>
      </w:pPr>
    </w:p>
    <w:p w14:paraId="75885A65" w14:textId="77777777" w:rsidR="00770154" w:rsidRDefault="00770154" w:rsidP="007E4679">
      <w:pPr>
        <w:ind w:firstLine="567"/>
        <w:jc w:val="both"/>
        <w:rPr>
          <w:sz w:val="24"/>
          <w:szCs w:val="24"/>
          <w:lang w:val="lt-LT"/>
        </w:rPr>
      </w:pPr>
    </w:p>
    <w:p w14:paraId="3708C890" w14:textId="77777777" w:rsidR="00770154" w:rsidRDefault="00770154" w:rsidP="007E4679">
      <w:pPr>
        <w:ind w:firstLine="567"/>
        <w:jc w:val="both"/>
        <w:rPr>
          <w:sz w:val="24"/>
          <w:szCs w:val="24"/>
          <w:lang w:val="lt-LT"/>
        </w:rPr>
      </w:pPr>
    </w:p>
    <w:p w14:paraId="7D08413E" w14:textId="77777777" w:rsidR="00770154" w:rsidRDefault="00770154" w:rsidP="007E4679">
      <w:pPr>
        <w:ind w:firstLine="567"/>
        <w:jc w:val="both"/>
        <w:rPr>
          <w:sz w:val="24"/>
          <w:szCs w:val="24"/>
          <w:lang w:val="lt-LT"/>
        </w:rPr>
      </w:pPr>
    </w:p>
    <w:p w14:paraId="00E41CB5" w14:textId="77777777" w:rsidR="00770154" w:rsidRDefault="00770154" w:rsidP="007E4679">
      <w:pPr>
        <w:ind w:firstLine="567"/>
        <w:jc w:val="both"/>
        <w:rPr>
          <w:sz w:val="24"/>
          <w:szCs w:val="24"/>
          <w:lang w:val="lt-LT"/>
        </w:rPr>
      </w:pPr>
    </w:p>
    <w:p w14:paraId="615D6F57" w14:textId="77777777" w:rsidR="00770154" w:rsidRDefault="00770154" w:rsidP="007E4679">
      <w:pPr>
        <w:ind w:firstLine="567"/>
        <w:jc w:val="both"/>
        <w:rPr>
          <w:sz w:val="24"/>
          <w:szCs w:val="24"/>
          <w:lang w:val="lt-LT"/>
        </w:rPr>
      </w:pPr>
    </w:p>
    <w:p w14:paraId="095E46E6" w14:textId="77777777" w:rsidR="00770154" w:rsidRDefault="00770154" w:rsidP="007E4679">
      <w:pPr>
        <w:ind w:firstLine="567"/>
        <w:jc w:val="both"/>
        <w:rPr>
          <w:sz w:val="24"/>
          <w:szCs w:val="24"/>
          <w:lang w:val="lt-LT"/>
        </w:rPr>
      </w:pPr>
    </w:p>
    <w:sectPr w:rsidR="00770154" w:rsidSect="00097E9E">
      <w:headerReference w:type="default" r:id="rId8"/>
      <w:footerReference w:type="default" r:id="rId9"/>
      <w:pgSz w:w="11906" w:h="16838" w:code="9"/>
      <w:pgMar w:top="1134" w:right="567" w:bottom="28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21C7E" w14:textId="77777777" w:rsidR="00A475F8" w:rsidRDefault="00A475F8" w:rsidP="009B2683">
      <w:r>
        <w:separator/>
      </w:r>
    </w:p>
  </w:endnote>
  <w:endnote w:type="continuationSeparator" w:id="0">
    <w:p w14:paraId="64B47031" w14:textId="77777777" w:rsidR="00A475F8" w:rsidRDefault="00A475F8" w:rsidP="009B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ost">
    <w:altName w:val="Cambria"/>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93C0" w14:textId="648E48CF" w:rsidR="00805B28" w:rsidRDefault="00AF0A9D" w:rsidP="008D6F7B">
    <w:pPr>
      <w:rPr>
        <w:sz w:val="16"/>
        <w:szCs w:val="16"/>
        <w:lang w:val="lt-LT"/>
      </w:rPr>
    </w:pPr>
    <w:r w:rsidRPr="0082128A">
      <w:rPr>
        <w:noProof/>
        <w:sz w:val="16"/>
        <w:szCs w:val="16"/>
        <w:lang w:val="lt-LT"/>
      </w:rPr>
      <w:drawing>
        <wp:inline distT="0" distB="0" distL="0" distR="0" wp14:anchorId="35E47C95" wp14:editId="5B263A0F">
          <wp:extent cx="6114415" cy="5588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55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21725" w14:textId="77777777" w:rsidR="00A475F8" w:rsidRDefault="00A475F8" w:rsidP="009B2683">
      <w:r>
        <w:separator/>
      </w:r>
    </w:p>
  </w:footnote>
  <w:footnote w:type="continuationSeparator" w:id="0">
    <w:p w14:paraId="164B1964" w14:textId="77777777" w:rsidR="00A475F8" w:rsidRDefault="00A475F8" w:rsidP="009B2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E28A" w14:textId="77777777" w:rsidR="00805B28" w:rsidRPr="008D6F7B" w:rsidRDefault="003C092D" w:rsidP="008D6F7B">
    <w:pPr>
      <w:pStyle w:val="Header"/>
      <w:jc w:val="center"/>
      <w:rPr>
        <w:lang w:val="lt-LT"/>
      </w:rPr>
    </w:pPr>
    <w:r>
      <w:fldChar w:fldCharType="begin"/>
    </w:r>
    <w:r>
      <w:instrText>PAGE   \* MERGEFORMAT</w:instrText>
    </w:r>
    <w:r>
      <w:fldChar w:fldCharType="separate"/>
    </w:r>
    <w:r w:rsidRPr="00917404">
      <w:rPr>
        <w:noProof/>
        <w:lang w:val="lt-LT"/>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num w:numId="1" w16cid:durableId="408501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9D"/>
    <w:rsid w:val="00037279"/>
    <w:rsid w:val="000560CE"/>
    <w:rsid w:val="000720F2"/>
    <w:rsid w:val="00074882"/>
    <w:rsid w:val="00084A31"/>
    <w:rsid w:val="00087523"/>
    <w:rsid w:val="00097E9E"/>
    <w:rsid w:val="000A62BA"/>
    <w:rsid w:val="000C75F7"/>
    <w:rsid w:val="000E3E84"/>
    <w:rsid w:val="000F792B"/>
    <w:rsid w:val="00115A9D"/>
    <w:rsid w:val="001300A2"/>
    <w:rsid w:val="001377D2"/>
    <w:rsid w:val="00146F2C"/>
    <w:rsid w:val="001671DA"/>
    <w:rsid w:val="00187B6E"/>
    <w:rsid w:val="001F32CC"/>
    <w:rsid w:val="002009F2"/>
    <w:rsid w:val="00204737"/>
    <w:rsid w:val="002078CE"/>
    <w:rsid w:val="00224088"/>
    <w:rsid w:val="00253A7F"/>
    <w:rsid w:val="00260036"/>
    <w:rsid w:val="00276FDB"/>
    <w:rsid w:val="00286A8D"/>
    <w:rsid w:val="002B7795"/>
    <w:rsid w:val="002C1504"/>
    <w:rsid w:val="002C5785"/>
    <w:rsid w:val="002D5E97"/>
    <w:rsid w:val="002D64D6"/>
    <w:rsid w:val="002E2B59"/>
    <w:rsid w:val="002F5A50"/>
    <w:rsid w:val="00306BC8"/>
    <w:rsid w:val="003222F2"/>
    <w:rsid w:val="00326B52"/>
    <w:rsid w:val="0033630A"/>
    <w:rsid w:val="0034431B"/>
    <w:rsid w:val="00381DBF"/>
    <w:rsid w:val="003C092D"/>
    <w:rsid w:val="003C3E2B"/>
    <w:rsid w:val="003C5323"/>
    <w:rsid w:val="003E216D"/>
    <w:rsid w:val="00415BE0"/>
    <w:rsid w:val="00435244"/>
    <w:rsid w:val="004410C0"/>
    <w:rsid w:val="00447FFB"/>
    <w:rsid w:val="00450A92"/>
    <w:rsid w:val="00450B3F"/>
    <w:rsid w:val="00483C62"/>
    <w:rsid w:val="004919C8"/>
    <w:rsid w:val="00494A79"/>
    <w:rsid w:val="0049726E"/>
    <w:rsid w:val="004C0DA5"/>
    <w:rsid w:val="004C2B04"/>
    <w:rsid w:val="004C4534"/>
    <w:rsid w:val="004D483A"/>
    <w:rsid w:val="004D7361"/>
    <w:rsid w:val="004E04E8"/>
    <w:rsid w:val="004F12D9"/>
    <w:rsid w:val="00502B56"/>
    <w:rsid w:val="005301BB"/>
    <w:rsid w:val="00564D26"/>
    <w:rsid w:val="00580A85"/>
    <w:rsid w:val="00580D0D"/>
    <w:rsid w:val="00591C1A"/>
    <w:rsid w:val="00594AB8"/>
    <w:rsid w:val="00594B99"/>
    <w:rsid w:val="005C3591"/>
    <w:rsid w:val="005D22EC"/>
    <w:rsid w:val="006009AB"/>
    <w:rsid w:val="00614B45"/>
    <w:rsid w:val="00623AC0"/>
    <w:rsid w:val="00645BD3"/>
    <w:rsid w:val="00656464"/>
    <w:rsid w:val="00671107"/>
    <w:rsid w:val="00675B01"/>
    <w:rsid w:val="00682991"/>
    <w:rsid w:val="006A00C5"/>
    <w:rsid w:val="006A4071"/>
    <w:rsid w:val="006E012D"/>
    <w:rsid w:val="006F027D"/>
    <w:rsid w:val="00704857"/>
    <w:rsid w:val="00721F7C"/>
    <w:rsid w:val="00725BCA"/>
    <w:rsid w:val="00726FEA"/>
    <w:rsid w:val="0075527E"/>
    <w:rsid w:val="00770154"/>
    <w:rsid w:val="00787DF4"/>
    <w:rsid w:val="007A6593"/>
    <w:rsid w:val="007D7BB6"/>
    <w:rsid w:val="007E243E"/>
    <w:rsid w:val="007E4679"/>
    <w:rsid w:val="007E5F05"/>
    <w:rsid w:val="00805B28"/>
    <w:rsid w:val="00852D22"/>
    <w:rsid w:val="00877EAA"/>
    <w:rsid w:val="00891904"/>
    <w:rsid w:val="008B3C29"/>
    <w:rsid w:val="008B43DA"/>
    <w:rsid w:val="008C60CE"/>
    <w:rsid w:val="008D5E5D"/>
    <w:rsid w:val="00924A98"/>
    <w:rsid w:val="00930AAB"/>
    <w:rsid w:val="00937D2B"/>
    <w:rsid w:val="0096672A"/>
    <w:rsid w:val="00972015"/>
    <w:rsid w:val="0098356E"/>
    <w:rsid w:val="00984B40"/>
    <w:rsid w:val="00995D55"/>
    <w:rsid w:val="009A7860"/>
    <w:rsid w:val="009B2683"/>
    <w:rsid w:val="009C2B35"/>
    <w:rsid w:val="00A424A4"/>
    <w:rsid w:val="00A475F8"/>
    <w:rsid w:val="00A63B97"/>
    <w:rsid w:val="00A86B67"/>
    <w:rsid w:val="00AC2305"/>
    <w:rsid w:val="00AD6960"/>
    <w:rsid w:val="00AD6E5F"/>
    <w:rsid w:val="00AE2977"/>
    <w:rsid w:val="00AF0A9D"/>
    <w:rsid w:val="00AF3EFD"/>
    <w:rsid w:val="00B0566E"/>
    <w:rsid w:val="00B15587"/>
    <w:rsid w:val="00B25054"/>
    <w:rsid w:val="00B37739"/>
    <w:rsid w:val="00B40AB3"/>
    <w:rsid w:val="00B43E31"/>
    <w:rsid w:val="00B50F06"/>
    <w:rsid w:val="00B66615"/>
    <w:rsid w:val="00B76B24"/>
    <w:rsid w:val="00B80C60"/>
    <w:rsid w:val="00B84A72"/>
    <w:rsid w:val="00BA4450"/>
    <w:rsid w:val="00BB3AE8"/>
    <w:rsid w:val="00BB3F3D"/>
    <w:rsid w:val="00BC3245"/>
    <w:rsid w:val="00C34979"/>
    <w:rsid w:val="00C46D03"/>
    <w:rsid w:val="00C61CF2"/>
    <w:rsid w:val="00C631BD"/>
    <w:rsid w:val="00C9243A"/>
    <w:rsid w:val="00CA16B4"/>
    <w:rsid w:val="00CB2580"/>
    <w:rsid w:val="00CC511A"/>
    <w:rsid w:val="00CE1059"/>
    <w:rsid w:val="00CE23AD"/>
    <w:rsid w:val="00D17694"/>
    <w:rsid w:val="00D239D1"/>
    <w:rsid w:val="00D34C9A"/>
    <w:rsid w:val="00D62244"/>
    <w:rsid w:val="00D91E08"/>
    <w:rsid w:val="00D972F6"/>
    <w:rsid w:val="00DA50FE"/>
    <w:rsid w:val="00DB67A9"/>
    <w:rsid w:val="00DC50C4"/>
    <w:rsid w:val="00DD28BD"/>
    <w:rsid w:val="00DD49BA"/>
    <w:rsid w:val="00E11D29"/>
    <w:rsid w:val="00E125DA"/>
    <w:rsid w:val="00E27F19"/>
    <w:rsid w:val="00E43BD3"/>
    <w:rsid w:val="00E520E0"/>
    <w:rsid w:val="00E54450"/>
    <w:rsid w:val="00E964BD"/>
    <w:rsid w:val="00ED2ED4"/>
    <w:rsid w:val="00ED6DF2"/>
    <w:rsid w:val="00EF1D25"/>
    <w:rsid w:val="00EF52FD"/>
    <w:rsid w:val="00F141DA"/>
    <w:rsid w:val="00F149A9"/>
    <w:rsid w:val="00F5304F"/>
    <w:rsid w:val="00F7353A"/>
    <w:rsid w:val="00F85839"/>
    <w:rsid w:val="00F91663"/>
    <w:rsid w:val="00F977A4"/>
    <w:rsid w:val="00FC1E29"/>
    <w:rsid w:val="00FF63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1A9D"/>
  <w15:chartTrackingRefBased/>
  <w15:docId w15:val="{C44E30DF-7886-497A-82BB-62FEDC08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9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0A9D"/>
    <w:rPr>
      <w:color w:val="0000FF"/>
      <w:u w:val="single"/>
    </w:rPr>
  </w:style>
  <w:style w:type="paragraph" w:styleId="Header">
    <w:name w:val="header"/>
    <w:basedOn w:val="Normal"/>
    <w:link w:val="HeaderChar"/>
    <w:uiPriority w:val="99"/>
    <w:rsid w:val="00AF0A9D"/>
    <w:pPr>
      <w:tabs>
        <w:tab w:val="center" w:pos="4819"/>
        <w:tab w:val="right" w:pos="9638"/>
      </w:tabs>
    </w:pPr>
  </w:style>
  <w:style w:type="character" w:customStyle="1" w:styleId="HeaderChar">
    <w:name w:val="Header Char"/>
    <w:basedOn w:val="DefaultParagraphFont"/>
    <w:link w:val="Header"/>
    <w:uiPriority w:val="99"/>
    <w:rsid w:val="00AF0A9D"/>
    <w:rPr>
      <w:rFonts w:ascii="Times New Roman" w:eastAsia="Times New Roman" w:hAnsi="Times New Roman" w:cs="Times New Roman"/>
      <w:sz w:val="20"/>
      <w:szCs w:val="20"/>
    </w:rPr>
  </w:style>
  <w:style w:type="paragraph" w:styleId="Footer">
    <w:name w:val="footer"/>
    <w:basedOn w:val="Normal"/>
    <w:link w:val="FooterChar"/>
    <w:rsid w:val="00AF0A9D"/>
    <w:pPr>
      <w:tabs>
        <w:tab w:val="center" w:pos="4819"/>
        <w:tab w:val="right" w:pos="9638"/>
      </w:tabs>
    </w:pPr>
  </w:style>
  <w:style w:type="character" w:customStyle="1" w:styleId="FooterChar">
    <w:name w:val="Footer Char"/>
    <w:basedOn w:val="DefaultParagraphFont"/>
    <w:link w:val="Footer"/>
    <w:rsid w:val="00AF0A9D"/>
    <w:rPr>
      <w:rFonts w:ascii="Times New Roman" w:eastAsia="Times New Roman" w:hAnsi="Times New Roman" w:cs="Times New Roman"/>
      <w:sz w:val="20"/>
      <w:szCs w:val="20"/>
    </w:rPr>
  </w:style>
  <w:style w:type="paragraph" w:styleId="BodyTextIndent2">
    <w:name w:val="Body Text Indent 2"/>
    <w:basedOn w:val="Normal"/>
    <w:link w:val="BodyTextIndent2Char"/>
    <w:rsid w:val="00AF0A9D"/>
    <w:pPr>
      <w:spacing w:after="120" w:line="480" w:lineRule="auto"/>
      <w:ind w:left="283"/>
    </w:pPr>
  </w:style>
  <w:style w:type="character" w:customStyle="1" w:styleId="BodyTextIndent2Char">
    <w:name w:val="Body Text Indent 2 Char"/>
    <w:basedOn w:val="DefaultParagraphFont"/>
    <w:link w:val="BodyTextIndent2"/>
    <w:rsid w:val="00AF0A9D"/>
    <w:rPr>
      <w:rFonts w:ascii="Times New Roman" w:eastAsia="Times New Roman" w:hAnsi="Times New Roman" w:cs="Times New Roman"/>
      <w:sz w:val="20"/>
      <w:szCs w:val="20"/>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9B2683"/>
    <w:pPr>
      <w:spacing w:after="160" w:line="259" w:lineRule="auto"/>
      <w:ind w:left="720"/>
      <w:contextualSpacing/>
    </w:pPr>
    <w:rPr>
      <w:rFonts w:asciiTheme="minorHAnsi" w:eastAsiaTheme="minorHAnsi" w:hAnsiTheme="minorHAnsi" w:cstheme="minorBidi"/>
      <w:sz w:val="22"/>
      <w:szCs w:val="22"/>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9B2683"/>
    <w:rPr>
      <w:lang w:val="lt-LT"/>
    </w:rPr>
  </w:style>
  <w:style w:type="paragraph" w:customStyle="1" w:styleId="Default">
    <w:name w:val="Default"/>
    <w:rsid w:val="009B2683"/>
    <w:pPr>
      <w:autoSpaceDE w:val="0"/>
      <w:autoSpaceDN w:val="0"/>
      <w:adjustRightInd w:val="0"/>
      <w:spacing w:after="0" w:line="240" w:lineRule="auto"/>
    </w:pPr>
    <w:rPr>
      <w:rFonts w:ascii="Arial" w:eastAsia="Times New Roman" w:hAnsi="Arial" w:cs="Arial"/>
      <w:color w:val="000000"/>
      <w:sz w:val="24"/>
      <w:szCs w:val="24"/>
      <w:lang w:val="lt-LT"/>
    </w:rPr>
  </w:style>
  <w:style w:type="paragraph" w:styleId="CommentText">
    <w:name w:val="annotation text"/>
    <w:basedOn w:val="Normal"/>
    <w:link w:val="CommentTextChar"/>
    <w:uiPriority w:val="99"/>
    <w:unhideWhenUsed/>
    <w:rsid w:val="009B2683"/>
  </w:style>
  <w:style w:type="character" w:customStyle="1" w:styleId="CommentTextChar">
    <w:name w:val="Comment Text Char"/>
    <w:basedOn w:val="DefaultParagraphFont"/>
    <w:link w:val="CommentText"/>
    <w:uiPriority w:val="99"/>
    <w:rsid w:val="009B26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2683"/>
    <w:pPr>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9B2683"/>
    <w:rPr>
      <w:rFonts w:ascii="Times New Roman" w:eastAsia="Times New Roman" w:hAnsi="Times New Roman" w:cs="Times New Roman"/>
      <w:b/>
      <w:bCs/>
      <w:sz w:val="20"/>
      <w:szCs w:val="20"/>
      <w:lang w:val="lt-LT"/>
    </w:rPr>
  </w:style>
  <w:style w:type="character" w:styleId="CommentReference">
    <w:name w:val="annotation reference"/>
    <w:basedOn w:val="DefaultParagraphFont"/>
    <w:uiPriority w:val="99"/>
    <w:semiHidden/>
    <w:unhideWhenUsed/>
    <w:rsid w:val="00656464"/>
    <w:rPr>
      <w:sz w:val="16"/>
      <w:szCs w:val="16"/>
    </w:rPr>
  </w:style>
  <w:style w:type="paragraph" w:styleId="Title">
    <w:name w:val="Title"/>
    <w:basedOn w:val="Normal"/>
    <w:next w:val="Normal"/>
    <w:link w:val="TitleChar"/>
    <w:uiPriority w:val="10"/>
    <w:qFormat/>
    <w:rsid w:val="002D64D6"/>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2D64D6"/>
    <w:rPr>
      <w:rFonts w:asciiTheme="majorHAnsi" w:eastAsiaTheme="majorEastAsia" w:hAnsiTheme="majorHAnsi" w:cstheme="majorBidi"/>
      <w:spacing w:val="-10"/>
      <w:kern w:val="28"/>
      <w:sz w:val="56"/>
      <w:szCs w:val="56"/>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1781</Words>
  <Characters>1016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Gražina Kašinskienė</cp:lastModifiedBy>
  <cp:revision>18</cp:revision>
  <dcterms:created xsi:type="dcterms:W3CDTF">2026-04-13T12:47:00Z</dcterms:created>
  <dcterms:modified xsi:type="dcterms:W3CDTF">2026-04-13T13:05:00Z</dcterms:modified>
</cp:coreProperties>
</file>