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0946" w14:textId="77777777" w:rsidR="00000000" w:rsidRDefault="0077506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130364893"/>
      <w:r>
        <w:rPr>
          <w:rFonts w:ascii="Times New Roman" w:hAnsi="Times New Roman"/>
          <w:b/>
          <w:color w:val="000000"/>
          <w:sz w:val="24"/>
          <w:szCs w:val="24"/>
        </w:rPr>
        <w:t>DĖL ATSAKYMŲ Į KLAUSIMUS</w:t>
      </w:r>
    </w:p>
    <w:p w14:paraId="15D1A6D6" w14:textId="77777777" w:rsidR="00000000" w:rsidRDefault="0077506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6FA2281" w14:textId="47F3C677" w:rsidR="00000000" w:rsidRDefault="00775068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Nacionalinės švietimo agentūros viešojo pirkimo komisija (toliau - Komisiją), vykdydama </w:t>
      </w:r>
      <w:r>
        <w:rPr>
          <w:rFonts w:ascii="Times New Roman" w:hAnsi="Times New Roman"/>
          <w:color w:val="000000"/>
          <w:sz w:val="24"/>
          <w:szCs w:val="24"/>
        </w:rPr>
        <w:t>skelbiamą apklausą</w:t>
      </w:r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</w:rPr>
        <w:t>Mikrobang</w:t>
      </w:r>
      <w:r>
        <w:rPr>
          <w:rFonts w:ascii="Times New Roman" w:hAnsi="Times New Roman"/>
          <w:color w:val="000000"/>
          <w:sz w:val="24"/>
          <w:szCs w:val="24"/>
        </w:rPr>
        <w:t>ų krosnelių pirkimas</w:t>
      </w:r>
      <w:r>
        <w:rPr>
          <w:rFonts w:ascii="Times New Roman" w:hAnsi="Times New Roman"/>
          <w:color w:val="000000"/>
          <w:sz w:val="24"/>
          <w:szCs w:val="24"/>
        </w:rPr>
        <w:t xml:space="preserve">“, pirkimo Nr. </w:t>
      </w:r>
      <w:r w:rsidR="00F27421" w:rsidRPr="00F27421">
        <w:rPr>
          <w:rFonts w:ascii="Times New Roman" w:hAnsi="Times New Roman"/>
          <w:color w:val="000000"/>
          <w:sz w:val="24"/>
          <w:szCs w:val="24"/>
        </w:rPr>
        <w:t>7274902</w:t>
      </w:r>
      <w:r>
        <w:rPr>
          <w:rFonts w:ascii="Times New Roman" w:hAnsi="Times New Roman"/>
          <w:color w:val="000000"/>
          <w:sz w:val="24"/>
          <w:szCs w:val="24"/>
        </w:rPr>
        <w:t xml:space="preserve"> gavo klausimus </w:t>
      </w:r>
      <w:r>
        <w:rPr>
          <w:rFonts w:ascii="Times New Roman" w:hAnsi="Times New Roman"/>
          <w:color w:val="000000"/>
          <w:sz w:val="24"/>
          <w:szCs w:val="24"/>
        </w:rPr>
        <w:t>ir parašymus</w:t>
      </w:r>
      <w:r>
        <w:rPr>
          <w:rFonts w:ascii="Times New Roman" w:hAnsi="Times New Roman"/>
          <w:color w:val="000000"/>
          <w:sz w:val="24"/>
          <w:szCs w:val="24"/>
        </w:rPr>
        <w:t xml:space="preserve"> iš Tiekėj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. Komisija išnagrinėjo gautus k</w:t>
      </w:r>
      <w:r>
        <w:rPr>
          <w:rFonts w:ascii="Times New Roman" w:hAnsi="Times New Roman"/>
          <w:color w:val="000000"/>
          <w:sz w:val="24"/>
          <w:szCs w:val="24"/>
        </w:rPr>
        <w:t xml:space="preserve">lausimus ir </w:t>
      </w:r>
      <w:r>
        <w:rPr>
          <w:rFonts w:ascii="Times New Roman" w:hAnsi="Times New Roman"/>
          <w:color w:val="000000"/>
          <w:sz w:val="24"/>
          <w:szCs w:val="24"/>
        </w:rPr>
        <w:t xml:space="preserve">prašymus, bei </w:t>
      </w:r>
      <w:r>
        <w:rPr>
          <w:rFonts w:ascii="Times New Roman" w:hAnsi="Times New Roman"/>
          <w:color w:val="000000"/>
          <w:sz w:val="24"/>
          <w:szCs w:val="24"/>
        </w:rPr>
        <w:t>pateikia atsakymus:</w:t>
      </w:r>
    </w:p>
    <w:p w14:paraId="650A82A2" w14:textId="77777777" w:rsidR="00000000" w:rsidRDefault="00775068">
      <w:pPr>
        <w:spacing w:after="0" w:line="360" w:lineRule="auto"/>
        <w:ind w:hanging="709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14:paraId="5F425D89" w14:textId="77777777" w:rsidR="00000000" w:rsidRDefault="0077506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Klausimas.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0B4510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t>„</w:t>
      </w:r>
      <w:r>
        <w:rPr>
          <w:i/>
          <w:iCs/>
        </w:rPr>
        <w:t>Atsižvelgdami į paskelbtą pastarąjį viešąjį mikrobangų krosnelių pirkimą, prašome perkančiąją organizaciją (toliau – PO) pateikti paaiškinimus dėl esminių prieštaravimų pirkimo dokumentų nuostatos</w:t>
      </w:r>
      <w:r>
        <w:rPr>
          <w:i/>
          <w:iCs/>
        </w:rPr>
        <w:t>e.</w:t>
      </w:r>
    </w:p>
    <w:p w14:paraId="1B6526B2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rPr>
          <w:i/>
          <w:iCs/>
        </w:rPr>
        <w:t>Prieštaravimų (neatitikimų pirkimo dokumentuose) esmė:</w:t>
      </w:r>
    </w:p>
    <w:p w14:paraId="128A30C4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rPr>
          <w:i/>
          <w:iCs/>
        </w:rPr>
        <w:t>Pirkimo dokumentų Techninėje specifikacijoje nustatyta, kad minimalus reikalaujamas garantinis terminas yra 12 mėnesių. Tačiau Pasiūlymo formos ekonominio naudingumo vertinimo kriterijų skiltyje nur</w:t>
      </w:r>
      <w:r>
        <w:rPr>
          <w:i/>
          <w:iCs/>
        </w:rPr>
        <w:t>odyta, jog papildomi balai skiriami už terminą, viršijantį privalomą 24 mėnesių terminą.</w:t>
      </w:r>
    </w:p>
    <w:p w14:paraId="5A7D8839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rPr>
          <w:i/>
          <w:iCs/>
        </w:rPr>
        <w:t>Informuojame, kad tokios pirkimo dokumentų sąlygos galimai neatitinka VPĮ 35 straipsnio 4 dalies reikalavimų, numatančių, kad pirkimo dokumentai turi būti tikslūs, aiš</w:t>
      </w:r>
      <w:r>
        <w:rPr>
          <w:i/>
          <w:iCs/>
        </w:rPr>
        <w:t>kūs ir be dviprasmybių. Esamas prieštaravimas koreliuoja su VPĮ 17 straipsnio 1 dalyje įtvirtintais skaidrumo ir lygiateisiškumo principais, kadangi tiekėjai negali vienodai suprasti minimalių reikalavimų ir tinkamai suformuoti pasiūlymo kainodaros bei įve</w:t>
      </w:r>
      <w:r>
        <w:rPr>
          <w:i/>
          <w:iCs/>
        </w:rPr>
        <w:t xml:space="preserve">rtinti prisiimamos rizikos. </w:t>
      </w:r>
    </w:p>
    <w:p w14:paraId="1CDFD551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rPr>
          <w:i/>
          <w:iCs/>
        </w:rPr>
        <w:t>&lt;…&gt;</w:t>
      </w:r>
    </w:p>
    <w:p w14:paraId="52073966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rPr>
          <w:i/>
          <w:iCs/>
        </w:rPr>
        <w:t xml:space="preserve">Atsižvelgdami į tai, Perkančiosios organizacijos prašome: </w:t>
      </w:r>
    </w:p>
    <w:p w14:paraId="7A31E800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color w:val="000000"/>
        </w:rPr>
      </w:pPr>
      <w:r>
        <w:rPr>
          <w:i/>
          <w:iCs/>
        </w:rPr>
        <w:t> </w:t>
      </w:r>
      <w:r>
        <w:rPr>
          <w:i/>
          <w:iCs/>
        </w:rPr>
        <w:t>Ištaisyti pirkimo sąlygų prieštaravimus ir tiksliai nurodyti, koks yra minimalus privalomas garantinis terminas bei nuo kurio mėnesio pradedamas skaičiuoti papildo</w:t>
      </w:r>
      <w:r>
        <w:rPr>
          <w:i/>
          <w:iCs/>
        </w:rPr>
        <w:t>mas ekonominio naudingumo balas</w:t>
      </w:r>
      <w:r>
        <w:t>“</w:t>
      </w:r>
    </w:p>
    <w:p w14:paraId="679E420E" w14:textId="77777777" w:rsidR="00000000" w:rsidRDefault="00775068">
      <w:pPr>
        <w:shd w:val="clear" w:color="auto" w:fill="FFFFFF"/>
        <w:spacing w:after="0" w:line="36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14:paraId="3D590F3E" w14:textId="77777777" w:rsidR="00000000" w:rsidRDefault="00775068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Atsakymas. </w:t>
      </w:r>
    </w:p>
    <w:p w14:paraId="1CAA968A" w14:textId="6E3EC6EF" w:rsidR="00000000" w:rsidRDefault="00775068">
      <w:pPr>
        <w:spacing w:after="0" w:line="360" w:lineRule="auto"/>
        <w:ind w:left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Nekeisdami esminių pirkimo sąlygų, ištaisome technines klaidas ir prieštaravimus tarp skirtingų pirkimo sąlygų nuostatų, bei patiksliname: Pirkimo sąlygų 4 priedą „Pasiūlymo forma“ ir 5 priedą „Pasiūlymo vertin</w:t>
      </w:r>
      <w:r>
        <w:rPr>
          <w:rFonts w:ascii="Times New Roman" w:hAnsi="Times New Roman"/>
          <w:color w:val="000000"/>
          <w:sz w:val="24"/>
          <w:szCs w:val="24"/>
        </w:rPr>
        <w:t>imo kriterijai ir sąlygos“.</w:t>
      </w:r>
      <w:r w:rsidR="005F6DD1">
        <w:rPr>
          <w:rFonts w:ascii="Times New Roman" w:hAnsi="Times New Roman"/>
          <w:color w:val="000000"/>
          <w:sz w:val="24"/>
          <w:szCs w:val="24"/>
        </w:rPr>
        <w:t xml:space="preserve"> Paskelbiame </w:t>
      </w:r>
    </w:p>
    <w:p w14:paraId="575DFDE1" w14:textId="77777777" w:rsidR="00000000" w:rsidRDefault="0077506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E18118" w14:textId="77777777" w:rsidR="00000000" w:rsidRDefault="0077506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Klausimas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14:paraId="25226630" w14:textId="77777777" w:rsidR="00000000" w:rsidRDefault="00775068">
      <w:pPr>
        <w:pStyle w:val="NormalWeb"/>
        <w:shd w:val="clear" w:color="auto" w:fill="FFFFFF"/>
        <w:spacing w:before="0" w:after="150"/>
        <w:ind w:left="567"/>
        <w:jc w:val="both"/>
        <w:rPr>
          <w:i/>
          <w:iCs/>
        </w:rPr>
      </w:pPr>
      <w:r>
        <w:t>,,</w:t>
      </w:r>
      <w:r>
        <w:rPr>
          <w:i/>
          <w:iCs/>
        </w:rPr>
        <w:t xml:space="preserve">Poveikis kainodarai: </w:t>
      </w:r>
    </w:p>
    <w:p w14:paraId="33B70B91" w14:textId="77777777" w:rsidR="00000000" w:rsidRDefault="00775068">
      <w:pPr>
        <w:pStyle w:val="NormalWeb"/>
        <w:shd w:val="clear" w:color="auto" w:fill="FFFFFF"/>
        <w:spacing w:before="0" w:after="150"/>
        <w:ind w:left="567"/>
        <w:jc w:val="both"/>
        <w:rPr>
          <w:i/>
          <w:iCs/>
        </w:rPr>
      </w:pPr>
      <w:r>
        <w:rPr>
          <w:i/>
          <w:iCs/>
        </w:rPr>
        <w:t xml:space="preserve">Pažymime, kad garantinio termino trukmė yra tiesiogiai susijusi su prekių savikaina. Ilgesnis garantinis laikotarpis tiekėjui reiškia: </w:t>
      </w:r>
    </w:p>
    <w:p w14:paraId="10438222" w14:textId="77777777" w:rsidR="00000000" w:rsidRDefault="00775068">
      <w:pPr>
        <w:pStyle w:val="NormalWeb"/>
        <w:shd w:val="clear" w:color="auto" w:fill="FFFFFF"/>
        <w:spacing w:before="0" w:after="150"/>
        <w:ind w:left="567"/>
        <w:jc w:val="both"/>
        <w:rPr>
          <w:i/>
          <w:iCs/>
        </w:rPr>
      </w:pPr>
      <w:r>
        <w:rPr>
          <w:i/>
          <w:iCs/>
        </w:rPr>
        <w:t xml:space="preserve">• </w:t>
      </w:r>
      <w:r>
        <w:rPr>
          <w:i/>
          <w:iCs/>
        </w:rPr>
        <w:t>Didesnius atidėjimus galimiems garantiniams remontams</w:t>
      </w:r>
      <w:r>
        <w:rPr>
          <w:i/>
          <w:iCs/>
        </w:rPr>
        <w:t>;</w:t>
      </w:r>
    </w:p>
    <w:p w14:paraId="08E41EA2" w14:textId="77777777" w:rsidR="00000000" w:rsidRDefault="00775068">
      <w:pPr>
        <w:pStyle w:val="NormalWeb"/>
        <w:shd w:val="clear" w:color="auto" w:fill="FFFFFF"/>
        <w:spacing w:before="0" w:after="150"/>
        <w:ind w:left="567"/>
        <w:jc w:val="both"/>
        <w:rPr>
          <w:i/>
          <w:iCs/>
        </w:rPr>
      </w:pPr>
      <w:r>
        <w:rPr>
          <w:i/>
          <w:iCs/>
        </w:rPr>
        <w:t xml:space="preserve">• </w:t>
      </w:r>
      <w:r>
        <w:rPr>
          <w:i/>
          <w:iCs/>
        </w:rPr>
        <w:t>Papildomus kaštus dėl gamintojo išplėstinės garantijos įsigijimo;</w:t>
      </w:r>
    </w:p>
    <w:p w14:paraId="3277DCE2" w14:textId="77777777" w:rsidR="00000000" w:rsidRDefault="00775068">
      <w:pPr>
        <w:pStyle w:val="NormalWeb"/>
        <w:shd w:val="clear" w:color="auto" w:fill="FFFFFF"/>
        <w:spacing w:before="0" w:after="150"/>
        <w:ind w:left="567"/>
        <w:jc w:val="both"/>
        <w:rPr>
          <w:i/>
          <w:iCs/>
        </w:rPr>
      </w:pPr>
      <w:r>
        <w:rPr>
          <w:i/>
          <w:iCs/>
        </w:rPr>
        <w:t xml:space="preserve">• </w:t>
      </w:r>
      <w:r>
        <w:rPr>
          <w:i/>
          <w:iCs/>
        </w:rPr>
        <w:t>Ilgesnio laikotarpio rizikos valdymą.</w:t>
      </w:r>
    </w:p>
    <w:p w14:paraId="3B618E23" w14:textId="77777777" w:rsidR="00000000" w:rsidRDefault="00775068">
      <w:pPr>
        <w:pStyle w:val="NormalWeb"/>
        <w:shd w:val="clear" w:color="auto" w:fill="FFFFFF"/>
        <w:spacing w:before="0" w:after="150"/>
        <w:ind w:left="567"/>
        <w:jc w:val="both"/>
        <w:rPr>
          <w:i/>
          <w:iCs/>
        </w:rPr>
      </w:pPr>
      <w:r>
        <w:rPr>
          <w:i/>
          <w:iCs/>
        </w:rPr>
        <w:t>Dėl esamų prieštaravimų tiekėjai negali objektyviai paskaičiuoti pasiūlymo kainos: vieni tiekėjai kainodarą gali grįsti 12 mėn. baze, kiti – 24 mė</w:t>
      </w:r>
      <w:r>
        <w:rPr>
          <w:i/>
          <w:iCs/>
        </w:rPr>
        <w:t xml:space="preserve">n. Tai sąlyginai iškreipia </w:t>
      </w:r>
      <w:r>
        <w:rPr>
          <w:i/>
          <w:iCs/>
        </w:rPr>
        <w:lastRenderedPageBreak/>
        <w:t xml:space="preserve">konkurencinę aplinką ir neatitinka VPĮ 17 str. 1 d. įtvirtinto lygiateisiškumo principo bei užkerta kelią tiekėjams pateikti tarpusavyje palyginamus pasiūlymus. </w:t>
      </w:r>
    </w:p>
    <w:p w14:paraId="2896ABDC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rPr>
          <w:i/>
          <w:iCs/>
        </w:rPr>
        <w:t>&lt;…&gt;</w:t>
      </w:r>
    </w:p>
    <w:p w14:paraId="374BD3EA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rPr>
          <w:i/>
          <w:iCs/>
        </w:rPr>
        <w:t xml:space="preserve">Atsižvelgdami į tai, Perkančiosios organizacijos prašome: </w:t>
      </w:r>
    </w:p>
    <w:p w14:paraId="730D8C4D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i/>
          <w:iCs/>
        </w:rPr>
      </w:pPr>
      <w:r>
        <w:rPr>
          <w:i/>
          <w:iCs/>
        </w:rPr>
        <w:t>&lt;...</w:t>
      </w:r>
      <w:r>
        <w:rPr>
          <w:i/>
          <w:iCs/>
        </w:rPr>
        <w:t>&gt;</w:t>
      </w:r>
    </w:p>
    <w:p w14:paraId="69CC4D12" w14:textId="77777777" w:rsidR="00000000" w:rsidRDefault="00775068">
      <w:pPr>
        <w:pStyle w:val="NormalWeb"/>
        <w:shd w:val="clear" w:color="auto" w:fill="FFFFFF"/>
        <w:spacing w:before="0" w:after="150"/>
        <w:ind w:left="426"/>
        <w:jc w:val="both"/>
        <w:rPr>
          <w:b/>
          <w:color w:val="000000"/>
        </w:rPr>
      </w:pPr>
      <w:r>
        <w:rPr>
          <w:i/>
          <w:iCs/>
        </w:rPr>
        <w:t>Patikslinti vertinimo tvarką, užtikrinant, kad visi tiekėjai vienodai suprastų pasiūlymų lyginimo bazę ir kainodaros principus;“</w:t>
      </w:r>
    </w:p>
    <w:p w14:paraId="5DB5A958" w14:textId="77777777" w:rsidR="00000000" w:rsidRDefault="00775068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14:paraId="1D2E6DD6" w14:textId="77777777" w:rsidR="00000000" w:rsidRDefault="00775068">
      <w:pPr>
        <w:shd w:val="clear" w:color="auto" w:fill="FFFFFF"/>
        <w:spacing w:after="0" w:line="360" w:lineRule="auto"/>
        <w:ind w:firstLine="44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 Atsakymas. </w:t>
      </w:r>
    </w:p>
    <w:p w14:paraId="19386E8E" w14:textId="77777777" w:rsidR="00000000" w:rsidRDefault="00775068">
      <w:pPr>
        <w:spacing w:after="0" w:line="360" w:lineRule="auto"/>
        <w:ind w:left="4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Sutinkame, kad esant ilgesnei garantijai gali būti siūloma didesnė pasiūlymo kaina. Dėl šios priežasties už i</w:t>
      </w:r>
      <w:r>
        <w:rPr>
          <w:rFonts w:ascii="Times New Roman" w:eastAsia="Times New Roman" w:hAnsi="Times New Roman"/>
          <w:color w:val="000000"/>
          <w:sz w:val="24"/>
          <w:szCs w:val="24"/>
        </w:rPr>
        <w:t>lgesnę garantiją yra suteikiami papildomi ekonominio naudingumo balai, kaip tai aprašyta Pirkimo sąlygų 5 priede „Pasiūlymo vertinimo kriterijai ir sąlygos“. Perkančioji organizacija siekia įsigyti įranga, kuria bus galima naudoti ilgesnį laiką, todėl nust</w:t>
      </w:r>
      <w:r>
        <w:rPr>
          <w:rFonts w:ascii="Times New Roman" w:eastAsia="Times New Roman" w:hAnsi="Times New Roman"/>
          <w:color w:val="000000"/>
          <w:sz w:val="24"/>
          <w:szCs w:val="24"/>
        </w:rPr>
        <w:t>ato reikalavimus įrangos garantijai, taip užtikrindama racionalų lėšų naudojimą.</w:t>
      </w:r>
    </w:p>
    <w:p w14:paraId="24F5FFD3" w14:textId="77777777" w:rsidR="00000000" w:rsidRDefault="00775068">
      <w:pPr>
        <w:spacing w:after="0"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14:paraId="0C640B03" w14:textId="77777777" w:rsidR="00000000" w:rsidRDefault="0077506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Klausimas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14:paraId="75071EE5" w14:textId="77777777" w:rsidR="00000000" w:rsidRDefault="00775068">
      <w:pPr>
        <w:pStyle w:val="NormalWeb"/>
        <w:shd w:val="clear" w:color="auto" w:fill="FFFFFF"/>
        <w:tabs>
          <w:tab w:val="left" w:pos="990"/>
        </w:tabs>
        <w:spacing w:before="0" w:after="150"/>
        <w:ind w:left="449"/>
        <w:jc w:val="both"/>
        <w:rPr>
          <w:i/>
          <w:iCs/>
        </w:rPr>
      </w:pPr>
      <w:r>
        <w:t>,,</w:t>
      </w:r>
      <w:r>
        <w:rPr>
          <w:i/>
          <w:iCs/>
        </w:rPr>
        <w:t>Nukelti pasiūlymų pateikimo terminą ne mažiau kaip 5 darbo dienoms nuo patikslintų pirkimo dokumentų paskelbimo dienos. Vadovaujantis VPĮ 40 straipsnio 4 dalies</w:t>
      </w:r>
      <w:r>
        <w:rPr>
          <w:i/>
          <w:iCs/>
        </w:rPr>
        <w:t xml:space="preserve"> 1 punktu bei atsižvelgiant į tai, kad tokiu atveju bus esminiai pirkimo sąlygų pakeitimai (garantinio termino ir ekonominio naudingumo balų skaičiavimo bazės keitimas tiesiogiai veikia pasiūlymo kainodarą), tad PO turėtų pratęsti pasiūlymų pateikimo termi</w:t>
      </w:r>
      <w:r>
        <w:rPr>
          <w:i/>
          <w:iCs/>
        </w:rPr>
        <w:t xml:space="preserve">ną, kai pirkimo dokumentai yra tikslinami, kad tiekėjai turėtų pakankamai laiko susipažinti su pakeitimais ir perskaičiuoti pasiūlymo kainą. </w:t>
      </w:r>
    </w:p>
    <w:p w14:paraId="2D3928DC" w14:textId="77777777" w:rsidR="00000000" w:rsidRDefault="00775068">
      <w:pPr>
        <w:pStyle w:val="NormalWeb"/>
        <w:shd w:val="clear" w:color="auto" w:fill="FFFFFF"/>
        <w:tabs>
          <w:tab w:val="left" w:pos="990"/>
        </w:tabs>
        <w:spacing w:before="0" w:after="150"/>
        <w:ind w:left="449"/>
        <w:jc w:val="both"/>
        <w:rPr>
          <w:b/>
          <w:color w:val="000000"/>
        </w:rPr>
      </w:pPr>
      <w:r>
        <w:rPr>
          <w:i/>
          <w:iCs/>
        </w:rPr>
        <w:t xml:space="preserve">Taip pat atkreipiame Perkančiosios organizacijos dėmesį, kad neaiškių pirkimo sąlygų palikimas vertinimo stadijai </w:t>
      </w:r>
      <w:r>
        <w:rPr>
          <w:i/>
          <w:iCs/>
        </w:rPr>
        <w:t>gali tapti pagrindu bet kurio tiekėjo ateityje teikiamoms pretenzijoms</w:t>
      </w:r>
      <w:r>
        <w:t xml:space="preserve"> </w:t>
      </w:r>
      <w:r>
        <w:rPr>
          <w:i/>
          <w:iCs/>
        </w:rPr>
        <w:t>ir pirkimo procedūrų stabdymui, todėl prašome minėtus netikslumus pakoreguoti.</w:t>
      </w:r>
      <w:r>
        <w:t>“</w:t>
      </w:r>
    </w:p>
    <w:p w14:paraId="04E14888" w14:textId="77777777" w:rsidR="00000000" w:rsidRDefault="00775068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p w14:paraId="51A83D42" w14:textId="77777777" w:rsidR="00000000" w:rsidRDefault="00775068">
      <w:pPr>
        <w:shd w:val="clear" w:color="auto" w:fill="FFFFFF"/>
        <w:spacing w:after="0" w:line="360" w:lineRule="auto"/>
        <w:ind w:firstLine="44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 Atsakymas.</w:t>
      </w:r>
    </w:p>
    <w:p w14:paraId="3E42DB21" w14:textId="77777777" w:rsidR="00000000" w:rsidRDefault="00775068">
      <w:pPr>
        <w:shd w:val="clear" w:color="auto" w:fill="FFFFFF"/>
        <w:spacing w:after="0" w:line="360" w:lineRule="auto"/>
        <w:ind w:left="44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Kadangi atlikti patikslinimai yra susiję su prieštaravimų tarp skirtingų sąlygų ištaisymu,</w:t>
      </w:r>
      <w:r>
        <w:rPr>
          <w:rFonts w:ascii="Times New Roman" w:hAnsi="Times New Roman"/>
          <w:color w:val="000000"/>
          <w:sz w:val="24"/>
          <w:szCs w:val="24"/>
        </w:rPr>
        <w:t xml:space="preserve"> yra vykdomos mažos vertės skelbiama apklausa, kurios pasiūlymo pateikimo terminas yra 3 darbo dienos, todėl pasiūlymo pateikimo terminas nukeliamas iki 2026 m. balandžio 20 d. </w:t>
      </w:r>
    </w:p>
    <w:p w14:paraId="34CA8D07" w14:textId="77777777" w:rsidR="00000000" w:rsidRDefault="00775068">
      <w:pPr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sectPr w:rsidR="00000000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96"/>
        </w:tabs>
        <w:ind w:left="1080" w:hanging="360"/>
      </w:pPr>
      <w:rPr>
        <w:rFonts w:hint="default"/>
        <w:b/>
        <w:bCs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b/>
        <w:bCs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DD1"/>
    <w:rsid w:val="005F6DD1"/>
    <w:rsid w:val="00775068"/>
    <w:rsid w:val="00F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D98C4"/>
  <w15:chartTrackingRefBased/>
  <w15:docId w15:val="{82EDDEEA-BFB6-4F1A-82CA-EF018DE7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bCs/>
    </w:rPr>
  </w:style>
  <w:style w:type="character" w:customStyle="1" w:styleId="WW8Num2z0">
    <w:name w:val="WW8Num2z0"/>
    <w:rPr>
      <w:rFonts w:hint="default"/>
      <w:b/>
      <w:bCs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b w:val="0"/>
      <w:color w:val="000000"/>
      <w:sz w:val="20"/>
      <w:szCs w:val="20"/>
      <w:lang w:eastAsia="ar-SA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  <w:b/>
      <w:bCs/>
    </w:rPr>
  </w:style>
  <w:style w:type="character" w:customStyle="1" w:styleId="WW8Num6z0">
    <w:name w:val="WW8Num6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2z0">
    <w:name w:val="WW8Num12z0"/>
    <w:rPr>
      <w:rFonts w:hint="default"/>
      <w:b/>
      <w:color w:val="000000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  <w:color w:val="000000"/>
    </w:rPr>
  </w:style>
  <w:style w:type="character" w:customStyle="1" w:styleId="WW8Num18z0">
    <w:name w:val="WW8Num18z0"/>
    <w:rPr>
      <w:rFonts w:hint="default"/>
      <w:b/>
      <w:bCs/>
    </w:rPr>
  </w:style>
  <w:style w:type="character" w:customStyle="1" w:styleId="WW8Num19z0">
    <w:name w:val="WW8Num19z0"/>
    <w:rPr>
      <w:rFonts w:hint="default"/>
    </w:rPr>
  </w:style>
  <w:style w:type="character" w:styleId="DefaultParagraphFont0">
    <w:name w:val="Default Paragraph Font"/>
  </w:style>
  <w:style w:type="character" w:customStyle="1" w:styleId="FontStyle14">
    <w:name w:val="Font Style14"/>
    <w:rPr>
      <w:rFonts w:ascii="Trebuchet MS" w:hAnsi="Trebuchet MS" w:cs="Trebuchet MS"/>
      <w:spacing w:val="-20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eksp4">
    <w:name w:val="eksp4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FontStyle18">
    <w:name w:val="Font Style18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Pr>
      <w:rFonts w:ascii="Times New Roman" w:hAnsi="Times New Roman" w:cs="Times New Roman"/>
      <w:sz w:val="12"/>
      <w:szCs w:val="12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10"/>
      <w:szCs w:val="10"/>
    </w:rPr>
  </w:style>
  <w:style w:type="character" w:customStyle="1" w:styleId="HeaderChar">
    <w:name w:val="Header Char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lt-LT"/>
    </w:rPr>
  </w:style>
  <w:style w:type="character" w:customStyle="1" w:styleId="hps">
    <w:name w:val="hps"/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lainTextChar">
    <w:name w:val="Plain Text Char"/>
    <w:rPr>
      <w:rFonts w:cs="Arial"/>
      <w:kern w:val="2"/>
      <w:sz w:val="22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spacing w:after="0" w:line="240" w:lineRule="auto"/>
      <w:ind w:left="833"/>
    </w:pPr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Style4">
    <w:name w:val="Style4"/>
    <w:basedOn w:val="Normal"/>
    <w:pPr>
      <w:widowControl w:val="0"/>
      <w:autoSpaceDE w:val="0"/>
      <w:spacing w:after="0" w:line="294" w:lineRule="exact"/>
      <w:ind w:hanging="341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nija">
    <w:name w:val="linija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"/>
    <w:pPr>
      <w:widowControl w:val="0"/>
      <w:autoSpaceDE w:val="0"/>
      <w:spacing w:after="0" w:line="277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pPr>
      <w:widowControl w:val="0"/>
      <w:autoSpaceDE w:val="0"/>
      <w:spacing w:after="0" w:line="27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Normal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"/>
    <w:pPr>
      <w:widowControl w:val="0"/>
      <w:autoSpaceDE w:val="0"/>
      <w:spacing w:after="0" w:line="27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Normal"/>
    <w:pPr>
      <w:widowControl w:val="0"/>
      <w:autoSpaceDE w:val="0"/>
      <w:spacing w:after="0" w:line="3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Normal"/>
    <w:pPr>
      <w:widowControl w:val="0"/>
      <w:autoSpaceDE w:val="0"/>
      <w:spacing w:after="0" w:line="278" w:lineRule="exact"/>
      <w:ind w:firstLine="1267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"/>
    <w:pPr>
      <w:widowControl w:val="0"/>
      <w:autoSpaceDE w:val="0"/>
      <w:spacing w:after="0" w:line="27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Normal"/>
    <w:pPr>
      <w:widowControl w:val="0"/>
      <w:autoSpaceDE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Normal"/>
    <w:pPr>
      <w:widowControl w:val="0"/>
      <w:autoSpaceDE w:val="0"/>
      <w:spacing w:after="0" w:line="26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2">
    <w:name w:val="Style12"/>
    <w:basedOn w:val="Normal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Normal"/>
    <w:pPr>
      <w:widowControl w:val="0"/>
      <w:autoSpaceDE w:val="0"/>
      <w:spacing w:after="0" w:line="235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Normal"/>
    <w:pPr>
      <w:widowControl w:val="0"/>
      <w:autoSpaceDE w:val="0"/>
      <w:spacing w:after="0" w:line="288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6">
    <w:name w:val="Style16"/>
    <w:basedOn w:val="Normal"/>
    <w:pPr>
      <w:widowControl w:val="0"/>
      <w:autoSpaceDE w:val="0"/>
      <w:spacing w:after="0" w:line="259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986"/>
        <w:tab w:val="right" w:pos="9972"/>
      </w:tabs>
      <w:spacing w:after="0" w:line="240" w:lineRule="auto"/>
    </w:pPr>
    <w:rPr>
      <w:rFonts w:ascii="Times New Roman" w:eastAsia="SimSun" w:hAnsi="Times New Roman"/>
      <w:sz w:val="24"/>
      <w:szCs w:val="24"/>
      <w:lang w:val="en-US"/>
    </w:rPr>
  </w:style>
  <w:style w:type="paragraph" w:customStyle="1" w:styleId="prastasis1">
    <w:name w:val="Įprastasis1"/>
    <w:pPr>
      <w:widowControl w:val="0"/>
      <w:suppressAutoHyphens/>
      <w:textAlignment w:val="baseline"/>
    </w:pPr>
    <w:rPr>
      <w:bCs/>
      <w:iCs/>
      <w:color w:val="000000"/>
      <w:kern w:val="2"/>
      <w:sz w:val="24"/>
      <w:szCs w:val="24"/>
      <w:lang w:eastAsia="zh-CN"/>
    </w:rPr>
  </w:style>
  <w:style w:type="paragraph" w:customStyle="1" w:styleId="default">
    <w:name w:val="default"/>
    <w:basedOn w:val="Normal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1264641664109777035msobodytext">
    <w:name w:val="m_1264641664109777035msobodytext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cs="Arial"/>
      <w:kern w:val="2"/>
      <w:szCs w:val="21"/>
      <w:lang w:val="en-US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2741</Words>
  <Characters>1563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Darbinis</dc:creator>
  <cp:keywords/>
  <cp:lastModifiedBy>Jurgita Nainienė</cp:lastModifiedBy>
  <cp:revision>2</cp:revision>
  <cp:lastPrinted>1601-01-01T00:00:00Z</cp:lastPrinted>
  <dcterms:created xsi:type="dcterms:W3CDTF">2026-04-13T13:44:00Z</dcterms:created>
  <dcterms:modified xsi:type="dcterms:W3CDTF">2026-04-13T13:44:00Z</dcterms:modified>
</cp:coreProperties>
</file>