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2C09BE39" w:rsidR="005F13F0" w:rsidRPr="00041629" w:rsidRDefault="00513F72" w:rsidP="004E4612">
          <w:pPr>
            <w:spacing w:after="120" w:line="20" w:lineRule="atLeast"/>
            <w:contextualSpacing/>
            <w:jc w:val="center"/>
            <w:rPr>
              <w:rFonts w:cstheme="minorHAnsi"/>
              <w:b/>
              <w:color w:val="000000" w:themeColor="text1"/>
              <w:sz w:val="22"/>
              <w:szCs w:val="22"/>
            </w:rPr>
          </w:pPr>
          <w:r>
            <w:rPr>
              <w:rFonts w:cstheme="minorHAnsi"/>
              <w:b/>
              <w:bCs/>
              <w:color w:val="000000" w:themeColor="text1"/>
              <w:sz w:val="22"/>
              <w:szCs w:val="22"/>
            </w:rPr>
            <w:t>VŠĮ VILNIAUS PIRKIMŲ AGENTŪRA</w:t>
          </w:r>
        </w:p>
        <w:p w14:paraId="2721BB57" w14:textId="70C4C1AE" w:rsidR="00D526C8" w:rsidRPr="00041629" w:rsidRDefault="791DA65D" w:rsidP="00EA4362">
          <w:pPr>
            <w:spacing w:after="120" w:line="20" w:lineRule="atLeast"/>
            <w:jc w:val="center"/>
            <w:rPr>
              <w:rFonts w:eastAsia="Calibri" w:cstheme="minorHAnsi"/>
              <w:color w:val="000000" w:themeColor="text1"/>
              <w:sz w:val="22"/>
              <w:szCs w:val="22"/>
            </w:rPr>
          </w:pPr>
          <w:r w:rsidRPr="00041629">
            <w:rPr>
              <w:rFonts w:cstheme="minorHAnsi"/>
              <w:color w:val="000000" w:themeColor="text1"/>
              <w:sz w:val="22"/>
              <w:szCs w:val="22"/>
            </w:rPr>
            <w:t>Konstitucijos pr. 3, LT-</w:t>
          </w:r>
          <w:r w:rsidR="00D374D7" w:rsidRPr="00D374D7">
            <w:rPr>
              <w:rFonts w:cstheme="minorHAnsi"/>
              <w:color w:val="000000" w:themeColor="text1"/>
              <w:sz w:val="22"/>
              <w:szCs w:val="22"/>
            </w:rPr>
            <w:t>09308 </w:t>
          </w:r>
          <w:r w:rsidRPr="00041629">
            <w:rPr>
              <w:rFonts w:cstheme="minorHAnsi"/>
              <w:color w:val="000000" w:themeColor="text1"/>
              <w:sz w:val="22"/>
              <w:szCs w:val="22"/>
            </w:rPr>
            <w:t>Vilnius</w:t>
          </w:r>
          <w:r w:rsidR="00414D9A" w:rsidRPr="00041629">
            <w:rPr>
              <w:rFonts w:cstheme="minorHAnsi"/>
              <w:color w:val="000000" w:themeColor="text1"/>
              <w:sz w:val="22"/>
              <w:szCs w:val="22"/>
            </w:rPr>
            <w:t xml:space="preserve">, k. </w:t>
          </w:r>
          <w:r w:rsidR="00D374D7" w:rsidRPr="00D374D7">
            <w:rPr>
              <w:rFonts w:cstheme="minorHAnsi"/>
              <w:color w:val="000000" w:themeColor="text1"/>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5B39EC1" w:rsidR="00D53BF4" w:rsidRPr="00A124D8" w:rsidRDefault="00A124D8" w:rsidP="4D4E2759">
          <w:pPr>
            <w:spacing w:after="120" w:line="20" w:lineRule="atLeast"/>
            <w:ind w:left="5245"/>
            <w:contextualSpacing/>
            <w:rPr>
              <w:sz w:val="22"/>
              <w:szCs w:val="22"/>
            </w:rPr>
          </w:pPr>
          <w:r w:rsidRPr="00A124D8">
            <w:rPr>
              <w:sz w:val="22"/>
              <w:szCs w:val="22"/>
            </w:rPr>
            <w:t>2026-04-13</w:t>
          </w:r>
          <w:r w:rsidR="001C24BC" w:rsidRPr="00A124D8">
            <w:rPr>
              <w:i/>
              <w:iCs/>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CB5D220" w:rsidR="00D526C8" w:rsidRPr="00682B25" w:rsidRDefault="007A130B" w:rsidP="004E4612">
          <w:pPr>
            <w:spacing w:after="120" w:line="20" w:lineRule="atLeast"/>
            <w:contextualSpacing/>
            <w:jc w:val="center"/>
            <w:rPr>
              <w:rFonts w:cstheme="minorHAnsi"/>
              <w:b/>
              <w:bCs/>
              <w:sz w:val="22"/>
              <w:szCs w:val="22"/>
            </w:rPr>
          </w:pPr>
          <w:r w:rsidRPr="00041629">
            <w:rPr>
              <w:rFonts w:cstheme="minorHAnsi"/>
              <w:b/>
              <w:bCs/>
              <w:color w:val="000000" w:themeColor="text1"/>
              <w:sz w:val="22"/>
              <w:szCs w:val="22"/>
            </w:rPr>
            <w:t>TARPTAUTIN</w:t>
          </w:r>
          <w:r w:rsidR="0069195A" w:rsidRPr="00041629">
            <w:rPr>
              <w:rFonts w:cstheme="minorHAnsi"/>
              <w:b/>
              <w:bCs/>
              <w:color w:val="000000" w:themeColor="text1"/>
              <w:sz w:val="22"/>
              <w:szCs w:val="22"/>
            </w:rPr>
            <w:t>ĖS VERTĖS</w:t>
          </w:r>
          <w:r w:rsidRPr="00041629">
            <w:rPr>
              <w:rFonts w:cstheme="minorHAnsi"/>
              <w:b/>
              <w:bCs/>
              <w:color w:val="000000" w:themeColor="text1"/>
              <w:sz w:val="22"/>
              <w:szCs w:val="22"/>
            </w:rPr>
            <w:t xml:space="preserve"> </w:t>
          </w:r>
          <w:r w:rsidR="00D526C8" w:rsidRPr="00682B25">
            <w:rPr>
              <w:rFonts w:cstheme="minorHAnsi"/>
              <w:b/>
              <w:bCs/>
              <w:sz w:val="22"/>
              <w:szCs w:val="22"/>
            </w:rPr>
            <w:t>VIEŠOJO PIRKIMO „</w:t>
          </w:r>
          <w:r w:rsidR="00443A56" w:rsidRPr="0075576A">
            <w:rPr>
              <w:rFonts w:cstheme="minorHAnsi"/>
              <w:b/>
              <w:bCs/>
              <w:color w:val="000000" w:themeColor="text1"/>
              <w:sz w:val="22"/>
              <w:szCs w:val="22"/>
            </w:rPr>
            <w:t>CP-</w:t>
          </w:r>
          <w:r w:rsidR="001939CC" w:rsidRPr="0075576A">
            <w:rPr>
              <w:rFonts w:cstheme="minorHAnsi"/>
              <w:b/>
              <w:bCs/>
              <w:color w:val="000000" w:themeColor="text1"/>
              <w:sz w:val="22"/>
              <w:szCs w:val="22"/>
            </w:rPr>
            <w:t>200831</w:t>
          </w:r>
          <w:r w:rsidR="006D4FCC" w:rsidRPr="0075576A">
            <w:rPr>
              <w:rFonts w:cstheme="minorHAnsi"/>
              <w:b/>
              <w:bCs/>
              <w:color w:val="000000" w:themeColor="text1"/>
              <w:sz w:val="22"/>
              <w:szCs w:val="22"/>
            </w:rPr>
            <w:t xml:space="preserve"> </w:t>
          </w:r>
          <w:r w:rsidR="001851AF" w:rsidRPr="0075576A">
            <w:rPr>
              <w:rFonts w:cstheme="minorHAnsi"/>
              <w:b/>
              <w:bCs/>
              <w:color w:val="000000" w:themeColor="text1"/>
              <w:sz w:val="22"/>
              <w:szCs w:val="22"/>
            </w:rPr>
            <w:t>REGENTAI IR PA</w:t>
          </w:r>
          <w:r w:rsidR="00C16207">
            <w:rPr>
              <w:rFonts w:cstheme="minorHAnsi"/>
              <w:b/>
              <w:bCs/>
              <w:color w:val="000000" w:themeColor="text1"/>
              <w:sz w:val="22"/>
              <w:szCs w:val="22"/>
            </w:rPr>
            <w:t>PILDOMOS</w:t>
          </w:r>
          <w:r w:rsidR="001851AF" w:rsidRPr="0075576A">
            <w:rPr>
              <w:rFonts w:cstheme="minorHAnsi"/>
              <w:b/>
              <w:bCs/>
              <w:color w:val="000000" w:themeColor="text1"/>
              <w:sz w:val="22"/>
              <w:szCs w:val="22"/>
            </w:rPr>
            <w:t xml:space="preserve"> PRIEMONĖS HEMATOLOGINI</w:t>
          </w:r>
          <w:r w:rsidR="00A7739F" w:rsidRPr="0075576A">
            <w:rPr>
              <w:rFonts w:cstheme="minorHAnsi"/>
              <w:b/>
              <w:bCs/>
              <w:color w:val="000000" w:themeColor="text1"/>
              <w:sz w:val="22"/>
              <w:szCs w:val="22"/>
            </w:rPr>
            <w:t xml:space="preserve">NIŲ TYRIMŲ ATLIKIMUI SU ĮRANGOS </w:t>
          </w:r>
          <w:r w:rsidR="0075576A" w:rsidRPr="0075576A">
            <w:rPr>
              <w:rFonts w:cstheme="minorHAnsi"/>
              <w:b/>
              <w:bCs/>
              <w:color w:val="000000" w:themeColor="text1"/>
              <w:sz w:val="22"/>
              <w:szCs w:val="22"/>
            </w:rPr>
            <w:t>ĮSIGIJIMU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5C2321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75576A" w:rsidRPr="0075576A">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2AB19BD" w14:textId="6E23C0CC" w:rsidR="00003710"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926385" w:history="1">
                <w:r w:rsidR="00003710" w:rsidRPr="00246CEA">
                  <w:rPr>
                    <w:rStyle w:val="Hipersaitas"/>
                    <w:rFonts w:cstheme="minorHAnsi"/>
                    <w:noProof/>
                  </w:rPr>
                  <w:t>1.</w:t>
                </w:r>
                <w:r w:rsidR="00003710">
                  <w:rPr>
                    <w:noProof/>
                    <w:kern w:val="2"/>
                    <w:sz w:val="24"/>
                    <w:szCs w:val="24"/>
                    <w14:ligatures w14:val="standardContextual"/>
                  </w:rPr>
                  <w:tab/>
                </w:r>
                <w:r w:rsidR="00003710" w:rsidRPr="00246CEA">
                  <w:rPr>
                    <w:rStyle w:val="Hipersaitas"/>
                    <w:rFonts w:cstheme="minorHAnsi"/>
                    <w:noProof/>
                  </w:rPr>
                  <w:t>Bendra informacija</w:t>
                </w:r>
                <w:r w:rsidR="00003710">
                  <w:rPr>
                    <w:noProof/>
                    <w:webHidden/>
                  </w:rPr>
                  <w:tab/>
                </w:r>
                <w:r w:rsidR="00003710">
                  <w:rPr>
                    <w:noProof/>
                    <w:webHidden/>
                  </w:rPr>
                  <w:fldChar w:fldCharType="begin"/>
                </w:r>
                <w:r w:rsidR="00003710">
                  <w:rPr>
                    <w:noProof/>
                    <w:webHidden/>
                  </w:rPr>
                  <w:instrText xml:space="preserve"> PAGEREF _Toc222926385 \h </w:instrText>
                </w:r>
                <w:r w:rsidR="00003710">
                  <w:rPr>
                    <w:noProof/>
                    <w:webHidden/>
                  </w:rPr>
                </w:r>
                <w:r w:rsidR="00003710">
                  <w:rPr>
                    <w:noProof/>
                    <w:webHidden/>
                  </w:rPr>
                  <w:fldChar w:fldCharType="separate"/>
                </w:r>
                <w:r w:rsidR="0038375B">
                  <w:rPr>
                    <w:noProof/>
                    <w:webHidden/>
                  </w:rPr>
                  <w:t>2</w:t>
                </w:r>
                <w:r w:rsidR="00003710">
                  <w:rPr>
                    <w:noProof/>
                    <w:webHidden/>
                  </w:rPr>
                  <w:fldChar w:fldCharType="end"/>
                </w:r>
              </w:hyperlink>
            </w:p>
            <w:p w14:paraId="29076A43" w14:textId="01F25F68" w:rsidR="00003710" w:rsidRDefault="00003710">
              <w:pPr>
                <w:pStyle w:val="Turinys1"/>
                <w:rPr>
                  <w:noProof/>
                  <w:kern w:val="2"/>
                  <w:sz w:val="24"/>
                  <w:szCs w:val="24"/>
                  <w14:ligatures w14:val="standardContextual"/>
                </w:rPr>
              </w:pPr>
              <w:hyperlink w:anchor="_Toc222926386" w:history="1">
                <w:r w:rsidRPr="00246CEA">
                  <w:rPr>
                    <w:rStyle w:val="Hipersaitas"/>
                    <w:rFonts w:cstheme="minorHAnsi"/>
                    <w:noProof/>
                  </w:rPr>
                  <w:t>2. Pirkimo objektas</w:t>
                </w:r>
                <w:r>
                  <w:rPr>
                    <w:noProof/>
                    <w:webHidden/>
                  </w:rPr>
                  <w:tab/>
                </w:r>
                <w:r>
                  <w:rPr>
                    <w:noProof/>
                    <w:webHidden/>
                  </w:rPr>
                  <w:fldChar w:fldCharType="begin"/>
                </w:r>
                <w:r>
                  <w:rPr>
                    <w:noProof/>
                    <w:webHidden/>
                  </w:rPr>
                  <w:instrText xml:space="preserve"> PAGEREF _Toc222926386 \h </w:instrText>
                </w:r>
                <w:r>
                  <w:rPr>
                    <w:noProof/>
                    <w:webHidden/>
                  </w:rPr>
                </w:r>
                <w:r>
                  <w:rPr>
                    <w:noProof/>
                    <w:webHidden/>
                  </w:rPr>
                  <w:fldChar w:fldCharType="separate"/>
                </w:r>
                <w:r w:rsidR="0038375B">
                  <w:rPr>
                    <w:noProof/>
                    <w:webHidden/>
                  </w:rPr>
                  <w:t>2</w:t>
                </w:r>
                <w:r>
                  <w:rPr>
                    <w:noProof/>
                    <w:webHidden/>
                  </w:rPr>
                  <w:fldChar w:fldCharType="end"/>
                </w:r>
              </w:hyperlink>
            </w:p>
            <w:p w14:paraId="1C8456E5" w14:textId="1CE86B5E" w:rsidR="00003710" w:rsidRDefault="00003710">
              <w:pPr>
                <w:pStyle w:val="Turinys1"/>
                <w:rPr>
                  <w:noProof/>
                  <w:kern w:val="2"/>
                  <w:sz w:val="24"/>
                  <w:szCs w:val="24"/>
                  <w14:ligatures w14:val="standardContextual"/>
                </w:rPr>
              </w:pPr>
              <w:hyperlink w:anchor="_Toc222926387" w:history="1">
                <w:r w:rsidRPr="00246CE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_Toc222926387 \h </w:instrText>
                </w:r>
                <w:r>
                  <w:rPr>
                    <w:noProof/>
                    <w:webHidden/>
                  </w:rPr>
                </w:r>
                <w:r>
                  <w:rPr>
                    <w:noProof/>
                    <w:webHidden/>
                  </w:rPr>
                  <w:fldChar w:fldCharType="separate"/>
                </w:r>
                <w:r w:rsidR="0038375B">
                  <w:rPr>
                    <w:noProof/>
                    <w:webHidden/>
                  </w:rPr>
                  <w:t>4</w:t>
                </w:r>
                <w:r>
                  <w:rPr>
                    <w:noProof/>
                    <w:webHidden/>
                  </w:rPr>
                  <w:fldChar w:fldCharType="end"/>
                </w:r>
              </w:hyperlink>
            </w:p>
            <w:p w14:paraId="1C065EC5" w14:textId="0556375B" w:rsidR="00003710" w:rsidRDefault="00003710">
              <w:pPr>
                <w:pStyle w:val="Turinys1"/>
                <w:rPr>
                  <w:noProof/>
                  <w:kern w:val="2"/>
                  <w:sz w:val="24"/>
                  <w:szCs w:val="24"/>
                  <w14:ligatures w14:val="standardContextual"/>
                </w:rPr>
              </w:pPr>
              <w:hyperlink w:anchor="_Toc222926388" w:history="1">
                <w:r w:rsidRPr="00246CE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_Toc222926388 \h </w:instrText>
                </w:r>
                <w:r>
                  <w:rPr>
                    <w:noProof/>
                    <w:webHidden/>
                  </w:rPr>
                </w:r>
                <w:r>
                  <w:rPr>
                    <w:noProof/>
                    <w:webHidden/>
                  </w:rPr>
                  <w:fldChar w:fldCharType="separate"/>
                </w:r>
                <w:r w:rsidR="0038375B">
                  <w:rPr>
                    <w:noProof/>
                    <w:webHidden/>
                  </w:rPr>
                  <w:t>4</w:t>
                </w:r>
                <w:r>
                  <w:rPr>
                    <w:noProof/>
                    <w:webHidden/>
                  </w:rPr>
                  <w:fldChar w:fldCharType="end"/>
                </w:r>
              </w:hyperlink>
            </w:p>
            <w:p w14:paraId="3B6E5B4C" w14:textId="4DD3C63A" w:rsidR="00003710" w:rsidRDefault="00003710">
              <w:pPr>
                <w:pStyle w:val="Turinys1"/>
                <w:rPr>
                  <w:noProof/>
                  <w:kern w:val="2"/>
                  <w:sz w:val="24"/>
                  <w:szCs w:val="24"/>
                  <w14:ligatures w14:val="standardContextual"/>
                </w:rPr>
              </w:pPr>
              <w:hyperlink w:anchor="_Toc222926389" w:history="1">
                <w:r w:rsidRPr="00246CEA">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_Toc222926389 \h </w:instrText>
                </w:r>
                <w:r>
                  <w:rPr>
                    <w:noProof/>
                    <w:webHidden/>
                  </w:rPr>
                </w:r>
                <w:r>
                  <w:rPr>
                    <w:noProof/>
                    <w:webHidden/>
                  </w:rPr>
                  <w:fldChar w:fldCharType="separate"/>
                </w:r>
                <w:r w:rsidR="0038375B">
                  <w:rPr>
                    <w:noProof/>
                    <w:webHidden/>
                  </w:rPr>
                  <w:t>4</w:t>
                </w:r>
                <w:r>
                  <w:rPr>
                    <w:noProof/>
                    <w:webHidden/>
                  </w:rPr>
                  <w:fldChar w:fldCharType="end"/>
                </w:r>
              </w:hyperlink>
            </w:p>
            <w:p w14:paraId="13B14123" w14:textId="773C9E7D" w:rsidR="00003710" w:rsidRDefault="00003710">
              <w:pPr>
                <w:pStyle w:val="Turinys1"/>
                <w:rPr>
                  <w:noProof/>
                  <w:kern w:val="2"/>
                  <w:sz w:val="24"/>
                  <w:szCs w:val="24"/>
                  <w14:ligatures w14:val="standardContextual"/>
                </w:rPr>
              </w:pPr>
              <w:hyperlink w:anchor="_Toc222926390" w:history="1">
                <w:r w:rsidRPr="00246CE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_Toc222926390 \h </w:instrText>
                </w:r>
                <w:r>
                  <w:rPr>
                    <w:noProof/>
                    <w:webHidden/>
                  </w:rPr>
                </w:r>
                <w:r>
                  <w:rPr>
                    <w:noProof/>
                    <w:webHidden/>
                  </w:rPr>
                  <w:fldChar w:fldCharType="separate"/>
                </w:r>
                <w:r w:rsidR="0038375B">
                  <w:rPr>
                    <w:noProof/>
                    <w:webHidden/>
                  </w:rPr>
                  <w:t>6</w:t>
                </w:r>
                <w:r>
                  <w:rPr>
                    <w:noProof/>
                    <w:webHidden/>
                  </w:rPr>
                  <w:fldChar w:fldCharType="end"/>
                </w:r>
              </w:hyperlink>
            </w:p>
            <w:p w14:paraId="121C9CFB" w14:textId="3771281F" w:rsidR="00003710" w:rsidRDefault="00003710">
              <w:pPr>
                <w:pStyle w:val="Turinys1"/>
                <w:tabs>
                  <w:tab w:val="left" w:pos="720"/>
                </w:tabs>
                <w:rPr>
                  <w:noProof/>
                  <w:kern w:val="2"/>
                  <w:sz w:val="24"/>
                  <w:szCs w:val="24"/>
                  <w14:ligatures w14:val="standardContextual"/>
                </w:rPr>
              </w:pPr>
              <w:hyperlink w:anchor="_Toc222926391" w:history="1">
                <w:r w:rsidRPr="00246CEA">
                  <w:rPr>
                    <w:rStyle w:val="Hipersaitas"/>
                    <w:rFonts w:eastAsia="Calibri" w:cstheme="minorHAnsi"/>
                    <w:noProof/>
                  </w:rPr>
                  <w:t>7.</w:t>
                </w:r>
                <w:r>
                  <w:rPr>
                    <w:noProof/>
                    <w:kern w:val="2"/>
                    <w:sz w:val="24"/>
                    <w:szCs w:val="24"/>
                    <w14:ligatures w14:val="standardContextual"/>
                  </w:rPr>
                  <w:tab/>
                </w:r>
                <w:r w:rsidRPr="00246CE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_Toc222926391 \h </w:instrText>
                </w:r>
                <w:r>
                  <w:rPr>
                    <w:noProof/>
                    <w:webHidden/>
                  </w:rPr>
                </w:r>
                <w:r>
                  <w:rPr>
                    <w:noProof/>
                    <w:webHidden/>
                  </w:rPr>
                  <w:fldChar w:fldCharType="separate"/>
                </w:r>
                <w:r w:rsidR="0038375B">
                  <w:rPr>
                    <w:noProof/>
                    <w:webHidden/>
                  </w:rPr>
                  <w:t>6</w:t>
                </w:r>
                <w:r>
                  <w:rPr>
                    <w:noProof/>
                    <w:webHidden/>
                  </w:rPr>
                  <w:fldChar w:fldCharType="end"/>
                </w:r>
              </w:hyperlink>
            </w:p>
            <w:p w14:paraId="6EBF04AD" w14:textId="5270A7F0" w:rsidR="00003710" w:rsidRDefault="00003710">
              <w:pPr>
                <w:pStyle w:val="Turinys1"/>
                <w:tabs>
                  <w:tab w:val="left" w:pos="720"/>
                </w:tabs>
                <w:rPr>
                  <w:noProof/>
                  <w:kern w:val="2"/>
                  <w:sz w:val="24"/>
                  <w:szCs w:val="24"/>
                  <w14:ligatures w14:val="standardContextual"/>
                </w:rPr>
              </w:pPr>
              <w:hyperlink w:anchor="_Toc222926392" w:history="1">
                <w:r w:rsidRPr="00246CEA">
                  <w:rPr>
                    <w:rStyle w:val="Hipersaitas"/>
                    <w:rFonts w:eastAsia="Calibri" w:cstheme="minorHAnsi"/>
                    <w:noProof/>
                  </w:rPr>
                  <w:t>8.</w:t>
                </w:r>
                <w:r>
                  <w:rPr>
                    <w:noProof/>
                    <w:kern w:val="2"/>
                    <w:sz w:val="24"/>
                    <w:szCs w:val="24"/>
                    <w14:ligatures w14:val="standardContextual"/>
                  </w:rPr>
                  <w:tab/>
                </w:r>
                <w:r w:rsidRPr="00246CE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_Toc222926392 \h </w:instrText>
                </w:r>
                <w:r>
                  <w:rPr>
                    <w:noProof/>
                    <w:webHidden/>
                  </w:rPr>
                </w:r>
                <w:r>
                  <w:rPr>
                    <w:noProof/>
                    <w:webHidden/>
                  </w:rPr>
                  <w:fldChar w:fldCharType="separate"/>
                </w:r>
                <w:r w:rsidR="0038375B">
                  <w:rPr>
                    <w:noProof/>
                    <w:webHidden/>
                  </w:rPr>
                  <w:t>7</w:t>
                </w:r>
                <w:r>
                  <w:rPr>
                    <w:noProof/>
                    <w:webHidden/>
                  </w:rPr>
                  <w:fldChar w:fldCharType="end"/>
                </w:r>
              </w:hyperlink>
            </w:p>
            <w:p w14:paraId="3123433B" w14:textId="44B9C91F" w:rsidR="00003710" w:rsidRDefault="00003710">
              <w:pPr>
                <w:pStyle w:val="Turinys1"/>
                <w:tabs>
                  <w:tab w:val="left" w:pos="720"/>
                </w:tabs>
                <w:rPr>
                  <w:noProof/>
                  <w:kern w:val="2"/>
                  <w:sz w:val="24"/>
                  <w:szCs w:val="24"/>
                  <w14:ligatures w14:val="standardContextual"/>
                </w:rPr>
              </w:pPr>
              <w:hyperlink w:anchor="_Toc222926393" w:history="1">
                <w:r w:rsidRPr="00246CEA">
                  <w:rPr>
                    <w:rStyle w:val="Hipersaitas"/>
                    <w:rFonts w:eastAsia="Calibri" w:cstheme="minorHAnsi"/>
                    <w:noProof/>
                  </w:rPr>
                  <w:t>9.</w:t>
                </w:r>
                <w:r>
                  <w:rPr>
                    <w:noProof/>
                    <w:kern w:val="2"/>
                    <w:sz w:val="24"/>
                    <w:szCs w:val="24"/>
                    <w14:ligatures w14:val="standardContextual"/>
                  </w:rPr>
                  <w:tab/>
                </w:r>
                <w:r w:rsidRPr="00246CE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_Toc222926393 \h </w:instrText>
                </w:r>
                <w:r>
                  <w:rPr>
                    <w:noProof/>
                    <w:webHidden/>
                  </w:rPr>
                </w:r>
                <w:r>
                  <w:rPr>
                    <w:noProof/>
                    <w:webHidden/>
                  </w:rPr>
                  <w:fldChar w:fldCharType="separate"/>
                </w:r>
                <w:r w:rsidR="0038375B">
                  <w:rPr>
                    <w:noProof/>
                    <w:webHidden/>
                  </w:rPr>
                  <w:t>7</w:t>
                </w:r>
                <w:r>
                  <w:rPr>
                    <w:noProof/>
                    <w:webHidden/>
                  </w:rPr>
                  <w:fldChar w:fldCharType="end"/>
                </w:r>
              </w:hyperlink>
            </w:p>
            <w:p w14:paraId="30D6F4F1" w14:textId="3A53FC6C" w:rsidR="00003710" w:rsidRDefault="00003710">
              <w:pPr>
                <w:pStyle w:val="Turinys1"/>
                <w:tabs>
                  <w:tab w:val="left" w:pos="720"/>
                </w:tabs>
                <w:rPr>
                  <w:noProof/>
                  <w:kern w:val="2"/>
                  <w:sz w:val="24"/>
                  <w:szCs w:val="24"/>
                  <w14:ligatures w14:val="standardContextual"/>
                </w:rPr>
              </w:pPr>
              <w:hyperlink w:anchor="_Toc222926394" w:history="1">
                <w:r w:rsidRPr="00246CEA">
                  <w:rPr>
                    <w:rStyle w:val="Hipersaitas"/>
                    <w:rFonts w:eastAsia="Calibri" w:cstheme="minorHAnsi"/>
                    <w:noProof/>
                  </w:rPr>
                  <w:t>10.</w:t>
                </w:r>
                <w:r>
                  <w:rPr>
                    <w:noProof/>
                    <w:kern w:val="2"/>
                    <w:sz w:val="24"/>
                    <w:szCs w:val="24"/>
                    <w14:ligatures w14:val="standardContextual"/>
                  </w:rPr>
                  <w:tab/>
                </w:r>
                <w:r w:rsidRPr="00246CEA">
                  <w:rPr>
                    <w:rStyle w:val="Hipersaitas"/>
                    <w:rFonts w:cstheme="minorHAnsi"/>
                    <w:noProof/>
                  </w:rPr>
                  <w:t>Sutarties sudarymas</w:t>
                </w:r>
                <w:r>
                  <w:rPr>
                    <w:noProof/>
                    <w:webHidden/>
                  </w:rPr>
                  <w:tab/>
                </w:r>
                <w:r>
                  <w:rPr>
                    <w:noProof/>
                    <w:webHidden/>
                  </w:rPr>
                  <w:fldChar w:fldCharType="begin"/>
                </w:r>
                <w:r>
                  <w:rPr>
                    <w:noProof/>
                    <w:webHidden/>
                  </w:rPr>
                  <w:instrText xml:space="preserve"> PAGEREF _Toc222926394 \h </w:instrText>
                </w:r>
                <w:r>
                  <w:rPr>
                    <w:noProof/>
                    <w:webHidden/>
                  </w:rPr>
                </w:r>
                <w:r>
                  <w:rPr>
                    <w:noProof/>
                    <w:webHidden/>
                  </w:rPr>
                  <w:fldChar w:fldCharType="separate"/>
                </w:r>
                <w:r w:rsidR="0038375B">
                  <w:rPr>
                    <w:noProof/>
                    <w:webHidden/>
                  </w:rPr>
                  <w:t>7</w:t>
                </w:r>
                <w:r>
                  <w:rPr>
                    <w:noProof/>
                    <w:webHidden/>
                  </w:rPr>
                  <w:fldChar w:fldCharType="end"/>
                </w:r>
              </w:hyperlink>
            </w:p>
            <w:p w14:paraId="417F9878" w14:textId="70412712" w:rsidR="00003710" w:rsidRDefault="00003710">
              <w:pPr>
                <w:pStyle w:val="Turinys1"/>
                <w:tabs>
                  <w:tab w:val="left" w:pos="720"/>
                </w:tabs>
                <w:rPr>
                  <w:noProof/>
                  <w:kern w:val="2"/>
                  <w:sz w:val="24"/>
                  <w:szCs w:val="24"/>
                  <w14:ligatures w14:val="standardContextual"/>
                </w:rPr>
              </w:pPr>
              <w:hyperlink w:anchor="_Toc222926395" w:history="1">
                <w:r w:rsidRPr="00246CEA">
                  <w:rPr>
                    <w:rStyle w:val="Hipersaitas"/>
                    <w:rFonts w:eastAsia="Calibri" w:cstheme="minorHAnsi"/>
                    <w:noProof/>
                  </w:rPr>
                  <w:t>11.</w:t>
                </w:r>
                <w:r>
                  <w:rPr>
                    <w:noProof/>
                    <w:kern w:val="2"/>
                    <w:sz w:val="24"/>
                    <w:szCs w:val="24"/>
                    <w14:ligatures w14:val="standardContextual"/>
                  </w:rPr>
                  <w:tab/>
                </w:r>
                <w:r w:rsidRPr="00246CE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_Toc222926395 \h </w:instrText>
                </w:r>
                <w:r>
                  <w:rPr>
                    <w:noProof/>
                    <w:webHidden/>
                  </w:rPr>
                </w:r>
                <w:r>
                  <w:rPr>
                    <w:noProof/>
                    <w:webHidden/>
                  </w:rPr>
                  <w:fldChar w:fldCharType="separate"/>
                </w:r>
                <w:r w:rsidR="0038375B">
                  <w:rPr>
                    <w:noProof/>
                    <w:webHidden/>
                  </w:rPr>
                  <w:t>8</w:t>
                </w:r>
                <w:r>
                  <w:rPr>
                    <w:noProof/>
                    <w:webHidden/>
                  </w:rPr>
                  <w:fldChar w:fldCharType="end"/>
                </w:r>
              </w:hyperlink>
            </w:p>
            <w:p w14:paraId="5709020B" w14:textId="08B9BB2A" w:rsidR="00003710" w:rsidRDefault="00003710">
              <w:pPr>
                <w:pStyle w:val="Turinys1"/>
                <w:tabs>
                  <w:tab w:val="left" w:pos="720"/>
                </w:tabs>
                <w:rPr>
                  <w:noProof/>
                  <w:kern w:val="2"/>
                  <w:sz w:val="24"/>
                  <w:szCs w:val="24"/>
                  <w14:ligatures w14:val="standardContextual"/>
                </w:rPr>
              </w:pPr>
              <w:hyperlink w:anchor="_Toc222926396" w:history="1">
                <w:r w:rsidRPr="00246CEA">
                  <w:rPr>
                    <w:rStyle w:val="Hipersaitas"/>
                    <w:rFonts w:eastAsia="Calibri" w:cstheme="minorHAnsi"/>
                    <w:noProof/>
                  </w:rPr>
                  <w:t>12.</w:t>
                </w:r>
                <w:r>
                  <w:rPr>
                    <w:noProof/>
                    <w:kern w:val="2"/>
                    <w:sz w:val="24"/>
                    <w:szCs w:val="24"/>
                    <w14:ligatures w14:val="standardContextual"/>
                  </w:rPr>
                  <w:tab/>
                </w:r>
                <w:r w:rsidRPr="00246CE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_Toc222926396 \h </w:instrText>
                </w:r>
                <w:r>
                  <w:rPr>
                    <w:noProof/>
                    <w:webHidden/>
                  </w:rPr>
                </w:r>
                <w:r>
                  <w:rPr>
                    <w:noProof/>
                    <w:webHidden/>
                  </w:rPr>
                  <w:fldChar w:fldCharType="separate"/>
                </w:r>
                <w:r w:rsidR="0038375B">
                  <w:rPr>
                    <w:noProof/>
                    <w:webHidden/>
                  </w:rPr>
                  <w:t>8</w:t>
                </w:r>
                <w:r>
                  <w:rPr>
                    <w:noProof/>
                    <w:webHidden/>
                  </w:rPr>
                  <w:fldChar w:fldCharType="end"/>
                </w:r>
              </w:hyperlink>
            </w:p>
            <w:p w14:paraId="0DDC40AE" w14:textId="0FA040A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BE98D37"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Atskirai pridedami priedai:</w:t>
          </w:r>
        </w:p>
        <w:p w14:paraId="39DB4AD3"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CD2644F"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1E5EF482"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3BD6CF7B" w14:textId="77777777" w:rsidR="00FE16AA" w:rsidRPr="006C2357"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3AE27AA0" w14:textId="77777777" w:rsidR="00FE16AA" w:rsidRDefault="00FE16AA" w:rsidP="00FE16AA">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0326789E" w14:textId="37D73AFC" w:rsidR="001D3049" w:rsidRDefault="001D3049" w:rsidP="00FE16AA">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8 priedas „</w:t>
          </w:r>
          <w:r w:rsidR="00657310">
            <w:rPr>
              <w:rFonts w:cstheme="minorHAnsi"/>
              <w:color w:val="000000" w:themeColor="text1"/>
              <w:sz w:val="22"/>
              <w:szCs w:val="22"/>
            </w:rPr>
            <w:t>Nacionalinio saugumo atitikties deklaracija“</w:t>
          </w:r>
        </w:p>
        <w:p w14:paraId="73CCB438" w14:textId="40A24CCE"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0E41B0">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292638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6FEED2D" w:rsidR="008272CE" w:rsidRPr="00D1737C" w:rsidRDefault="008272CE" w:rsidP="000E41B0">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F27548">
        <w:rPr>
          <w:rFonts w:cstheme="minorHAnsi"/>
          <w:color w:val="000000" w:themeColor="text1"/>
          <w:sz w:val="22"/>
          <w:szCs w:val="22"/>
        </w:rPr>
        <w:t>v</w:t>
      </w:r>
      <w:r w:rsidR="00C420A5" w:rsidRPr="008E1140">
        <w:rPr>
          <w:rFonts w:cstheme="minorHAnsi"/>
          <w:color w:val="000000" w:themeColor="text1"/>
          <w:sz w:val="22"/>
          <w:szCs w:val="22"/>
        </w:rPr>
        <w:t>iešoji įstaiga Centro poliklinika, kodas 125873515, Pylimo g. 3,</w:t>
      </w:r>
      <w:r w:rsidR="00C420A5">
        <w:rPr>
          <w:rFonts w:cstheme="minorHAnsi"/>
          <w:color w:val="000000" w:themeColor="text1"/>
          <w:sz w:val="22"/>
          <w:szCs w:val="22"/>
        </w:rPr>
        <w:br/>
      </w:r>
      <w:r w:rsidR="00C420A5" w:rsidRPr="008E1140">
        <w:rPr>
          <w:rFonts w:cstheme="minorHAnsi"/>
          <w:color w:val="000000" w:themeColor="text1"/>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4EC957C" w:rsidR="00E32C8E" w:rsidRPr="00FC36E7" w:rsidRDefault="00E32C8E" w:rsidP="000E41B0">
      <w:pPr>
        <w:pStyle w:val="Sraopastraipa"/>
        <w:numPr>
          <w:ilvl w:val="1"/>
          <w:numId w:val="1"/>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765BE9" w:rsidRPr="00FC36E7">
        <w:rPr>
          <w:rFonts w:eastAsia="Calibri" w:cstheme="minorHAnsi"/>
          <w:b/>
          <w:bCs/>
          <w:sz w:val="22"/>
          <w:szCs w:val="22"/>
        </w:rPr>
        <w:t xml:space="preserve"> </w:t>
      </w:r>
      <w:r w:rsidR="00765BE9" w:rsidRPr="00FC36E7">
        <w:rPr>
          <w:rFonts w:eastAsia="Calibri" w:cstheme="minorHAnsi"/>
          <w:sz w:val="22"/>
          <w:szCs w:val="22"/>
        </w:rPr>
        <w:t>–</w:t>
      </w:r>
      <w:r w:rsidR="00FA199F">
        <w:rPr>
          <w:rFonts w:eastAsia="Calibri" w:cstheme="minorHAnsi"/>
          <w:sz w:val="22"/>
          <w:szCs w:val="22"/>
        </w:rPr>
        <w:t xml:space="preserve"> VšĮ Vilniaus pirkimų agentūra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 xml:space="preserve">juridinio asmens kodas </w:t>
      </w:r>
      <w:r w:rsidR="00A91555" w:rsidRPr="00D374D7">
        <w:rPr>
          <w:rFonts w:cstheme="minorHAnsi"/>
          <w:color w:val="000000" w:themeColor="text1"/>
          <w:sz w:val="22"/>
          <w:szCs w:val="22"/>
        </w:rPr>
        <w:t>307488060</w:t>
      </w:r>
      <w:r w:rsidR="008A6612" w:rsidRPr="00FC36E7">
        <w:rPr>
          <w:rFonts w:eastAsia="Calibri" w:cstheme="minorHAnsi"/>
          <w:sz w:val="22"/>
          <w:szCs w:val="22"/>
        </w:rPr>
        <w:t>, adresas Konstitucijos pr. 3, LT-</w:t>
      </w:r>
      <w:r w:rsidR="002857D7" w:rsidRPr="00D374D7">
        <w:rPr>
          <w:rFonts w:cstheme="minorHAnsi"/>
          <w:color w:val="000000" w:themeColor="text1"/>
          <w:sz w:val="22"/>
          <w:szCs w:val="22"/>
        </w:rPr>
        <w:t>09308 </w:t>
      </w:r>
      <w:r w:rsidR="008A6612" w:rsidRPr="00FC36E7">
        <w:rPr>
          <w:rFonts w:eastAsia="Calibri" w:cstheme="minorHAnsi"/>
          <w:sz w:val="22"/>
          <w:szCs w:val="22"/>
        </w:rPr>
        <w:t>Vilnius</w:t>
      </w:r>
      <w:r w:rsidRPr="00FC36E7">
        <w:rPr>
          <w:rFonts w:eastAsia="Calibri" w:cstheme="minorHAnsi"/>
          <w:sz w:val="22"/>
          <w:szCs w:val="22"/>
        </w:rPr>
        <w:t xml:space="preserve">. </w:t>
      </w:r>
      <w:r w:rsidR="002857D7">
        <w:rPr>
          <w:rFonts w:eastAsia="Calibri" w:cstheme="minorHAnsi"/>
          <w:sz w:val="22"/>
          <w:szCs w:val="22"/>
        </w:rPr>
        <w:t xml:space="preserve">VšĮ Vilniaus pirkimų agentūra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w:t>
      </w:r>
      <w:r w:rsidR="00811FA9">
        <w:rPr>
          <w:rFonts w:eastAsia="Calibri" w:cstheme="minorHAnsi"/>
          <w:sz w:val="22"/>
          <w:szCs w:val="22"/>
        </w:rPr>
        <w:t>VšĮ Vilniaus pirkimų agentūra</w:t>
      </w:r>
      <w:r w:rsidR="00811FA9" w:rsidRPr="00FC36E7">
        <w:rPr>
          <w:rFonts w:eastAsia="Times New Roman" w:cstheme="minorHAnsi"/>
          <w:sz w:val="22"/>
          <w:szCs w:val="22"/>
        </w:rPr>
        <w:t xml:space="preserve"> </w:t>
      </w:r>
      <w:r w:rsidR="00F6109A" w:rsidRPr="00FC36E7">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74696B" w:rsidRPr="008E1140">
        <w:rPr>
          <w:rFonts w:cstheme="minorHAnsi"/>
          <w:color w:val="000000" w:themeColor="text1"/>
          <w:sz w:val="22"/>
          <w:szCs w:val="22"/>
        </w:rPr>
        <w:t>Viešoji įstaiga Centro poliklinika, kodas 125873515, Pylimo g. 3, LT-01117 Vilnius</w:t>
      </w:r>
      <w:r w:rsidR="00BB3F33" w:rsidRPr="00FC36E7">
        <w:rPr>
          <w:rFonts w:eastAsia="Calibri" w:cstheme="minorHAnsi"/>
          <w:sz w:val="22"/>
          <w:szCs w:val="22"/>
        </w:rPr>
        <w:t>.</w:t>
      </w:r>
    </w:p>
    <w:p w14:paraId="2239DD1B" w14:textId="211CCEAD" w:rsidR="002F5F8E" w:rsidRPr="005E7A2A" w:rsidRDefault="007D6857" w:rsidP="000E41B0">
      <w:pPr>
        <w:pStyle w:val="Sraopastraipa"/>
        <w:numPr>
          <w:ilvl w:val="1"/>
          <w:numId w:val="1"/>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BC414A"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0E41B0">
      <w:pPr>
        <w:pStyle w:val="Sraopastraipa"/>
        <w:numPr>
          <w:ilvl w:val="1"/>
          <w:numId w:val="1"/>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E41B0">
      <w:pPr>
        <w:pStyle w:val="Sraopastraipa"/>
        <w:numPr>
          <w:ilvl w:val="1"/>
          <w:numId w:val="1"/>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508578BE" w14:textId="77777777" w:rsidR="00CD1834" w:rsidRPr="00CD1834" w:rsidRDefault="003A502A" w:rsidP="000E41B0">
      <w:pPr>
        <w:pStyle w:val="Sraopastraipa"/>
        <w:numPr>
          <w:ilvl w:val="0"/>
          <w:numId w:val="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4446E5">
        <w:rPr>
          <w:color w:val="000000" w:themeColor="text1"/>
          <w:sz w:val="22"/>
          <w:szCs w:val="22"/>
        </w:rPr>
        <w:t>4.4.4.1</w:t>
      </w:r>
      <w:r w:rsidRPr="004446E5">
        <w:rPr>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CD1834">
        <w:rPr>
          <w:color w:val="000000" w:themeColor="text1"/>
          <w:sz w:val="22"/>
          <w:szCs w:val="22"/>
        </w:rPr>
        <w:t>5</w:t>
      </w:r>
      <w:r w:rsidR="00D4732D" w:rsidRPr="00CD1834">
        <w:rPr>
          <w:color w:val="000000" w:themeColor="text1"/>
          <w:sz w:val="22"/>
          <w:szCs w:val="22"/>
        </w:rPr>
        <w:t xml:space="preserve"> priede „</w:t>
      </w:r>
      <w:r w:rsidR="00C62292" w:rsidRPr="00CD1834">
        <w:rPr>
          <w:color w:val="000000" w:themeColor="text1"/>
          <w:sz w:val="22"/>
          <w:szCs w:val="22"/>
        </w:rPr>
        <w:t>Sutarties projektas</w:t>
      </w:r>
      <w:r w:rsidR="00D4732D" w:rsidRPr="00CD1834">
        <w:rPr>
          <w:color w:val="000000" w:themeColor="text1"/>
          <w:sz w:val="22"/>
          <w:szCs w:val="22"/>
        </w:rPr>
        <w:t>“</w:t>
      </w:r>
      <w:r w:rsidRPr="00CD1834">
        <w:rPr>
          <w:color w:val="000000" w:themeColor="text1"/>
          <w:sz w:val="22"/>
          <w:szCs w:val="22"/>
        </w:rPr>
        <w:t>.</w:t>
      </w:r>
    </w:p>
    <w:p w14:paraId="5FBADED9" w14:textId="77777777" w:rsidR="00CD1834" w:rsidRPr="00FD2845" w:rsidRDefault="0069195A" w:rsidP="000E41B0">
      <w:pPr>
        <w:pStyle w:val="Sraopastraipa"/>
        <w:numPr>
          <w:ilvl w:val="0"/>
          <w:numId w:val="7"/>
        </w:numPr>
        <w:spacing w:after="0" w:line="240" w:lineRule="auto"/>
        <w:ind w:left="0" w:firstLine="567"/>
        <w:jc w:val="both"/>
        <w:rPr>
          <w:color w:val="000000" w:themeColor="text1"/>
          <w:sz w:val="22"/>
          <w:szCs w:val="22"/>
        </w:rPr>
      </w:pPr>
      <w:r w:rsidRPr="00CD1834">
        <w:rPr>
          <w:rFonts w:eastAsia="Arial"/>
          <w:sz w:val="22"/>
          <w:szCs w:val="22"/>
        </w:rPr>
        <w:t xml:space="preserve">Šiame pirkime </w:t>
      </w:r>
      <w:r w:rsidR="00D701D9" w:rsidRPr="00FD2845">
        <w:rPr>
          <w:rFonts w:eastAsia="Arial"/>
          <w:color w:val="000000" w:themeColor="text1"/>
          <w:sz w:val="22"/>
          <w:szCs w:val="22"/>
        </w:rPr>
        <w:t xml:space="preserve">netaikomi </w:t>
      </w:r>
      <w:r w:rsidRPr="00FD2845">
        <w:rPr>
          <w:rFonts w:eastAsia="Arial"/>
          <w:color w:val="000000" w:themeColor="text1"/>
          <w:sz w:val="22"/>
          <w:szCs w:val="22"/>
        </w:rPr>
        <w:t>energijos vartojimo efektyvumo reikalavimai.</w:t>
      </w:r>
    </w:p>
    <w:p w14:paraId="3AD721C0" w14:textId="77777777" w:rsidR="00FD2845" w:rsidRPr="00FD2845" w:rsidRDefault="00E32C8E" w:rsidP="000E41B0">
      <w:pPr>
        <w:pStyle w:val="Sraopastraipa"/>
        <w:numPr>
          <w:ilvl w:val="0"/>
          <w:numId w:val="7"/>
        </w:numPr>
        <w:spacing w:after="0" w:line="240" w:lineRule="auto"/>
        <w:ind w:left="0" w:firstLine="567"/>
        <w:jc w:val="both"/>
        <w:rPr>
          <w:color w:val="000000" w:themeColor="text1"/>
          <w:sz w:val="22"/>
          <w:szCs w:val="22"/>
        </w:rPr>
      </w:pPr>
      <w:r w:rsidRPr="00FD2845">
        <w:rPr>
          <w:rFonts w:eastAsia="Arial"/>
          <w:color w:val="000000" w:themeColor="text1"/>
          <w:sz w:val="22"/>
          <w:szCs w:val="22"/>
        </w:rPr>
        <w:t xml:space="preserve">Išankstinis skelbimas apie </w:t>
      </w:r>
      <w:r w:rsidR="007A68AD" w:rsidRPr="00FD2845">
        <w:rPr>
          <w:rFonts w:eastAsia="Arial"/>
          <w:color w:val="000000" w:themeColor="text1"/>
          <w:sz w:val="22"/>
          <w:szCs w:val="22"/>
        </w:rPr>
        <w:t>p</w:t>
      </w:r>
      <w:r w:rsidRPr="00FD2845">
        <w:rPr>
          <w:rFonts w:eastAsia="Arial"/>
          <w:color w:val="000000" w:themeColor="text1"/>
          <w:sz w:val="22"/>
          <w:szCs w:val="22"/>
        </w:rPr>
        <w:t>irkimą nebuvo paskelbtas.</w:t>
      </w:r>
    </w:p>
    <w:p w14:paraId="49D8C47E" w14:textId="77777777" w:rsidR="00FD2845" w:rsidRPr="00FD2845" w:rsidRDefault="00015FC9" w:rsidP="000E41B0">
      <w:pPr>
        <w:pStyle w:val="Sraopastraipa"/>
        <w:numPr>
          <w:ilvl w:val="0"/>
          <w:numId w:val="7"/>
        </w:numPr>
        <w:spacing w:after="0" w:line="240" w:lineRule="auto"/>
        <w:ind w:left="0" w:firstLine="567"/>
        <w:jc w:val="both"/>
        <w:rPr>
          <w:color w:val="000000" w:themeColor="text1"/>
          <w:sz w:val="22"/>
          <w:szCs w:val="22"/>
        </w:rPr>
      </w:pPr>
      <w:r w:rsidRPr="00FD2845">
        <w:rPr>
          <w:sz w:val="22"/>
          <w:szCs w:val="22"/>
          <w:lang w:eastAsia="en-US"/>
        </w:rPr>
        <w:t>P</w:t>
      </w:r>
      <w:r w:rsidR="00E32C8E" w:rsidRPr="00FD2845">
        <w:rPr>
          <w:sz w:val="22"/>
          <w:szCs w:val="22"/>
          <w:lang w:eastAsia="en-US"/>
        </w:rPr>
        <w:t xml:space="preserve">irkime </w:t>
      </w:r>
      <w:r w:rsidR="007A68AD" w:rsidRPr="00FD2845">
        <w:rPr>
          <w:sz w:val="22"/>
          <w:szCs w:val="22"/>
        </w:rPr>
        <w:t>perkančioji organizacija</w:t>
      </w:r>
      <w:r w:rsidR="00E32C8E" w:rsidRPr="00FD2845">
        <w:rPr>
          <w:sz w:val="22"/>
          <w:szCs w:val="22"/>
          <w:lang w:eastAsia="en-US"/>
        </w:rPr>
        <w:t xml:space="preserve"> nenumato skelbti pranešimo dėl savanoriško </w:t>
      </w:r>
      <w:proofErr w:type="spellStart"/>
      <w:r w:rsidR="00E32C8E" w:rsidRPr="00FD2845">
        <w:rPr>
          <w:i/>
          <w:iCs/>
          <w:sz w:val="22"/>
          <w:szCs w:val="22"/>
          <w:lang w:eastAsia="en-US"/>
        </w:rPr>
        <w:t>ex</w:t>
      </w:r>
      <w:proofErr w:type="spellEnd"/>
      <w:r w:rsidR="00E32C8E" w:rsidRPr="00FD2845">
        <w:rPr>
          <w:i/>
          <w:iCs/>
          <w:sz w:val="22"/>
          <w:szCs w:val="22"/>
          <w:lang w:eastAsia="en-US"/>
        </w:rPr>
        <w:t xml:space="preserve"> ante</w:t>
      </w:r>
      <w:r w:rsidR="00E32C8E" w:rsidRPr="00FD2845">
        <w:rPr>
          <w:sz w:val="22"/>
          <w:szCs w:val="22"/>
          <w:lang w:eastAsia="en-US"/>
        </w:rPr>
        <w:t xml:space="preserve"> skaidrumo.</w:t>
      </w:r>
    </w:p>
    <w:p w14:paraId="448A58DB" w14:textId="77777777" w:rsidR="00FD2845" w:rsidRPr="00FD2845" w:rsidRDefault="00841F13" w:rsidP="000E41B0">
      <w:pPr>
        <w:pStyle w:val="Sraopastraipa"/>
        <w:numPr>
          <w:ilvl w:val="0"/>
          <w:numId w:val="7"/>
        </w:numPr>
        <w:spacing w:after="0" w:line="240" w:lineRule="auto"/>
        <w:ind w:left="0" w:firstLine="567"/>
        <w:jc w:val="both"/>
        <w:rPr>
          <w:color w:val="000000" w:themeColor="text1"/>
          <w:sz w:val="22"/>
          <w:szCs w:val="22"/>
        </w:rPr>
      </w:pPr>
      <w:r w:rsidRPr="00FD2845">
        <w:rPr>
          <w:sz w:val="22"/>
          <w:szCs w:val="22"/>
        </w:rPr>
        <w:t xml:space="preserve">Pirkime neleidžiama pateikti alternatyvių pasiūlymų. </w:t>
      </w:r>
      <w:r w:rsidR="00BA0147" w:rsidRPr="00FD2845">
        <w:rPr>
          <w:sz w:val="22"/>
          <w:szCs w:val="22"/>
        </w:rPr>
        <w:t>Tiekėjui pateikus alternatyvų pasiūlymą (alternatyvius pasiūlymus), jo pasiūlymas ir alternatyvūs pasiūlymai bus atmesti.</w:t>
      </w:r>
    </w:p>
    <w:p w14:paraId="2C51B285" w14:textId="77777777" w:rsidR="00FD2845" w:rsidRPr="00FD2845" w:rsidRDefault="004D070C" w:rsidP="000E41B0">
      <w:pPr>
        <w:pStyle w:val="Sraopastraipa"/>
        <w:numPr>
          <w:ilvl w:val="0"/>
          <w:numId w:val="7"/>
        </w:numPr>
        <w:spacing w:after="0" w:line="240" w:lineRule="auto"/>
        <w:ind w:left="0" w:firstLine="567"/>
        <w:jc w:val="both"/>
        <w:rPr>
          <w:color w:val="000000" w:themeColor="text1"/>
          <w:sz w:val="22"/>
          <w:szCs w:val="22"/>
        </w:rPr>
      </w:pPr>
      <w:r w:rsidRPr="00FD2845">
        <w:rPr>
          <w:rFonts w:eastAsia="Times New Roman"/>
          <w:color w:val="000000" w:themeColor="text1"/>
          <w:sz w:val="22"/>
          <w:szCs w:val="22"/>
        </w:rPr>
        <w:t xml:space="preserve">Jeigu Pirkimo metu bus atliekama patikra Nacionaliniam saugumui užtikrinti svarbių objektų apsaugos įstatyme nustatyta tvarka, </w:t>
      </w:r>
      <w:r w:rsidRPr="00FD2845">
        <w:rPr>
          <w:color w:val="000000" w:themeColor="text1"/>
          <w:sz w:val="22"/>
          <w:szCs w:val="22"/>
        </w:rPr>
        <w:t xml:space="preserve">dalyvis turės pateikti tokiai patikrai atlikti reikalingus dokumentus. </w:t>
      </w:r>
    </w:p>
    <w:p w14:paraId="0C002F05" w14:textId="6E5775DE" w:rsidR="00E32C8E" w:rsidRPr="00FD2845" w:rsidRDefault="00E32C8E" w:rsidP="000E41B0">
      <w:pPr>
        <w:pStyle w:val="Sraopastraipa"/>
        <w:numPr>
          <w:ilvl w:val="0"/>
          <w:numId w:val="7"/>
        </w:numPr>
        <w:spacing w:after="0" w:line="240" w:lineRule="auto"/>
        <w:ind w:left="0" w:firstLine="567"/>
        <w:jc w:val="both"/>
        <w:rPr>
          <w:color w:val="000000" w:themeColor="text1"/>
          <w:sz w:val="22"/>
          <w:szCs w:val="22"/>
        </w:rPr>
      </w:pPr>
      <w:r w:rsidRPr="00FD2845">
        <w:rPr>
          <w:rFonts w:eastAsia="Arial"/>
          <w:color w:val="333333"/>
          <w:sz w:val="22"/>
          <w:szCs w:val="22"/>
        </w:rPr>
        <w:t xml:space="preserve">Bendrosios </w:t>
      </w:r>
      <w:r w:rsidR="007E5F55" w:rsidRPr="00FD2845">
        <w:rPr>
          <w:rFonts w:eastAsia="Arial"/>
          <w:color w:val="333333"/>
          <w:sz w:val="22"/>
          <w:szCs w:val="22"/>
        </w:rPr>
        <w:t xml:space="preserve">pirkimo </w:t>
      </w:r>
      <w:r w:rsidRPr="00FD2845">
        <w:rPr>
          <w:rFonts w:eastAsia="Arial"/>
          <w:color w:val="333333"/>
          <w:sz w:val="22"/>
          <w:szCs w:val="22"/>
        </w:rPr>
        <w:t>sąlygos yra neatskiriama ši</w:t>
      </w:r>
      <w:r w:rsidR="00C07F25" w:rsidRPr="00FD2845">
        <w:rPr>
          <w:rFonts w:eastAsia="Arial"/>
          <w:color w:val="333333"/>
          <w:sz w:val="22"/>
          <w:szCs w:val="22"/>
        </w:rPr>
        <w:t>ų</w:t>
      </w:r>
      <w:r w:rsidRPr="00FD2845">
        <w:rPr>
          <w:rFonts w:eastAsia="Arial"/>
          <w:color w:val="333333"/>
          <w:sz w:val="22"/>
          <w:szCs w:val="22"/>
        </w:rPr>
        <w:t xml:space="preserve"> </w:t>
      </w:r>
      <w:r w:rsidR="00F4541C" w:rsidRPr="00FD2845">
        <w:rPr>
          <w:rFonts w:eastAsia="Arial"/>
          <w:color w:val="333333"/>
          <w:sz w:val="22"/>
          <w:szCs w:val="22"/>
        </w:rPr>
        <w:t>p</w:t>
      </w:r>
      <w:r w:rsidRPr="00FD2845">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292638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C9CE3A9" w14:textId="3E805F4E" w:rsidR="00FB60F9" w:rsidRDefault="00B41C66" w:rsidP="000E41B0">
      <w:pPr>
        <w:pStyle w:val="Betarp"/>
        <w:numPr>
          <w:ilvl w:val="1"/>
          <w:numId w:val="4"/>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16207" w:rsidRPr="008A1866">
        <w:rPr>
          <w:rFonts w:eastAsia="Calibri" w:cstheme="minorHAnsi"/>
          <w:i/>
          <w:iCs/>
          <w:color w:val="000000" w:themeColor="text1"/>
          <w:sz w:val="22"/>
          <w:szCs w:val="22"/>
        </w:rPr>
        <w:t xml:space="preserve">Reagentus ir papildomas priemones hematologiniams </w:t>
      </w:r>
      <w:r w:rsidR="0006311F" w:rsidRPr="008A1866">
        <w:rPr>
          <w:rFonts w:eastAsia="Calibri" w:cstheme="minorHAnsi"/>
          <w:i/>
          <w:iCs/>
          <w:color w:val="000000" w:themeColor="text1"/>
          <w:sz w:val="22"/>
          <w:szCs w:val="22"/>
        </w:rPr>
        <w:t xml:space="preserve">tyrimams </w:t>
      </w:r>
      <w:r w:rsidR="00F27548">
        <w:rPr>
          <w:rFonts w:eastAsia="Calibri" w:cstheme="minorHAnsi"/>
          <w:i/>
          <w:iCs/>
          <w:color w:val="000000" w:themeColor="text1"/>
          <w:sz w:val="22"/>
          <w:szCs w:val="22"/>
        </w:rPr>
        <w:t xml:space="preserve">atlikti </w:t>
      </w:r>
      <w:r w:rsidR="0006311F" w:rsidRPr="008A1866">
        <w:rPr>
          <w:rFonts w:eastAsia="Calibri" w:cstheme="minorHAnsi"/>
          <w:i/>
          <w:iCs/>
          <w:color w:val="000000" w:themeColor="text1"/>
          <w:sz w:val="22"/>
          <w:szCs w:val="22"/>
        </w:rPr>
        <w:t>su įrangos įsigijimu panaudos būdu</w:t>
      </w:r>
      <w:r w:rsidR="00A95DDA">
        <w:rPr>
          <w:rFonts w:eastAsia="Calibri" w:cstheme="minorHAnsi"/>
          <w:color w:val="00B050"/>
          <w:sz w:val="22"/>
          <w:szCs w:val="22"/>
        </w:rPr>
        <w:t xml:space="preserve"> </w:t>
      </w:r>
      <w:r w:rsidR="00066F91" w:rsidRPr="00EE1B93">
        <w:rPr>
          <w:rFonts w:eastAsia="Times New Roman" w:cstheme="minorHAnsi"/>
          <w:sz w:val="22"/>
          <w:szCs w:val="22"/>
          <w:lang w:eastAsia="en-US"/>
        </w:rPr>
        <w:t xml:space="preserve">(toliau – </w:t>
      </w:r>
      <w:r w:rsidR="00066F91" w:rsidRPr="008A186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060F24">
        <w:rPr>
          <w:rFonts w:eastAsia="Calibri" w:cstheme="minorHAnsi"/>
          <w:color w:val="000000" w:themeColor="text1"/>
          <w:sz w:val="22"/>
          <w:szCs w:val="22"/>
        </w:rPr>
        <w:t>.</w:t>
      </w:r>
    </w:p>
    <w:p w14:paraId="7C008937" w14:textId="77777777" w:rsidR="00230674" w:rsidRPr="00230674" w:rsidRDefault="00B41C66" w:rsidP="000E41B0">
      <w:pPr>
        <w:pStyle w:val="Betarp"/>
        <w:numPr>
          <w:ilvl w:val="1"/>
          <w:numId w:val="4"/>
        </w:numPr>
        <w:spacing w:after="120"/>
        <w:ind w:left="0" w:firstLine="709"/>
        <w:contextualSpacing/>
        <w:jc w:val="both"/>
        <w:rPr>
          <w:rFonts w:cstheme="minorHAnsi"/>
          <w:sz w:val="22"/>
          <w:szCs w:val="22"/>
        </w:rPr>
      </w:pPr>
      <w:r w:rsidRPr="00FB60F9">
        <w:rPr>
          <w:sz w:val="22"/>
          <w:szCs w:val="22"/>
        </w:rPr>
        <w:t xml:space="preserve">Pirkimo objektas į dalis neskaidomas. </w:t>
      </w:r>
      <w:r w:rsidR="007554D6" w:rsidRPr="00FB60F9">
        <w:rPr>
          <w:sz w:val="22"/>
          <w:szCs w:val="22"/>
        </w:rPr>
        <w:t xml:space="preserve">Pirkimo apimtys, reikalavimai ir techninė specifikacija apibrėžti </w:t>
      </w:r>
      <w:r w:rsidR="007204DB" w:rsidRPr="00FB60F9">
        <w:rPr>
          <w:sz w:val="22"/>
          <w:szCs w:val="22"/>
        </w:rPr>
        <w:t xml:space="preserve">specialiųjų </w:t>
      </w:r>
      <w:r w:rsidR="007554D6" w:rsidRPr="00FB60F9">
        <w:rPr>
          <w:sz w:val="22"/>
          <w:szCs w:val="22"/>
        </w:rPr>
        <w:t xml:space="preserve">pirkimo sąlygų </w:t>
      </w:r>
      <w:r w:rsidR="00B762D8" w:rsidRPr="004510EC">
        <w:rPr>
          <w:color w:val="000000" w:themeColor="text1"/>
          <w:sz w:val="22"/>
          <w:szCs w:val="22"/>
        </w:rPr>
        <w:t>2</w:t>
      </w:r>
      <w:r w:rsidR="009275CC" w:rsidRPr="004510EC">
        <w:rPr>
          <w:color w:val="000000" w:themeColor="text1"/>
          <w:sz w:val="22"/>
          <w:szCs w:val="22"/>
        </w:rPr>
        <w:t xml:space="preserve"> priede „Techninė specifikacija</w:t>
      </w:r>
      <w:r w:rsidR="31975FF3" w:rsidRPr="004510EC">
        <w:rPr>
          <w:color w:val="000000" w:themeColor="text1"/>
          <w:sz w:val="22"/>
          <w:szCs w:val="22"/>
        </w:rPr>
        <w:t>”</w:t>
      </w:r>
      <w:r w:rsidR="007554D6" w:rsidRPr="004510EC">
        <w:rPr>
          <w:color w:val="000000" w:themeColor="text1"/>
          <w:sz w:val="22"/>
          <w:szCs w:val="22"/>
        </w:rPr>
        <w:t>.</w:t>
      </w:r>
      <w:r w:rsidR="00513A28">
        <w:rPr>
          <w:color w:val="00B050"/>
          <w:sz w:val="22"/>
          <w:szCs w:val="22"/>
        </w:rPr>
        <w:t xml:space="preserve"> </w:t>
      </w:r>
    </w:p>
    <w:p w14:paraId="3FC7DB2D" w14:textId="5D15464B" w:rsidR="005D4617" w:rsidRPr="0051670A" w:rsidRDefault="00782593" w:rsidP="00230674">
      <w:pPr>
        <w:pStyle w:val="Betarp"/>
        <w:spacing w:after="120"/>
        <w:ind w:firstLine="567"/>
        <w:contextualSpacing/>
        <w:jc w:val="both"/>
        <w:rPr>
          <w:sz w:val="22"/>
          <w:szCs w:val="22"/>
        </w:rPr>
      </w:pPr>
      <w:r w:rsidRPr="0042393E">
        <w:rPr>
          <w:b/>
          <w:bCs/>
          <w:color w:val="000000" w:themeColor="text1"/>
          <w:sz w:val="22"/>
          <w:szCs w:val="22"/>
        </w:rPr>
        <w:t>Pagrindimo dėl neskaidymo argumentai</w:t>
      </w:r>
      <w:r w:rsidRPr="0042393E">
        <w:rPr>
          <w:color w:val="000000" w:themeColor="text1"/>
          <w:sz w:val="22"/>
          <w:szCs w:val="22"/>
        </w:rPr>
        <w:t xml:space="preserve">: </w:t>
      </w:r>
      <w:r w:rsidR="00230674" w:rsidRPr="0051670A">
        <w:rPr>
          <w:sz w:val="22"/>
          <w:szCs w:val="22"/>
        </w:rPr>
        <w:t xml:space="preserve">Bendrasis hematologinis tyrimas su automatizuota ≥ 5-ių dalių </w:t>
      </w:r>
      <w:proofErr w:type="spellStart"/>
      <w:r w:rsidR="00230674" w:rsidRPr="0051670A">
        <w:rPr>
          <w:sz w:val="22"/>
          <w:szCs w:val="22"/>
        </w:rPr>
        <w:t>leukograma</w:t>
      </w:r>
      <w:proofErr w:type="spellEnd"/>
      <w:r w:rsidR="00230674" w:rsidRPr="0051670A">
        <w:rPr>
          <w:sz w:val="22"/>
          <w:szCs w:val="22"/>
        </w:rPr>
        <w:t xml:space="preserve"> (toliau </w:t>
      </w:r>
      <w:r w:rsidR="00D31E92" w:rsidRPr="0051670A">
        <w:rPr>
          <w:sz w:val="22"/>
          <w:szCs w:val="22"/>
        </w:rPr>
        <w:t xml:space="preserve">- </w:t>
      </w:r>
      <w:r w:rsidR="00230674" w:rsidRPr="0051670A">
        <w:rPr>
          <w:sz w:val="22"/>
          <w:szCs w:val="22"/>
        </w:rPr>
        <w:t xml:space="preserve">BHT) yra atliekamas dešimtyje perkančiosios organizacijos padalinių.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w:t>
      </w:r>
      <w:r w:rsidR="006008C5" w:rsidRPr="0051670A">
        <w:rPr>
          <w:sz w:val="22"/>
          <w:szCs w:val="22"/>
        </w:rPr>
        <w:t xml:space="preserve"> </w:t>
      </w:r>
      <w:r w:rsidR="004B07BD" w:rsidRPr="0051670A">
        <w:rPr>
          <w:sz w:val="22"/>
          <w:szCs w:val="22"/>
        </w:rPr>
        <w:t>hematologin</w:t>
      </w:r>
      <w:r w:rsidR="001F5C62" w:rsidRPr="0051670A">
        <w:rPr>
          <w:sz w:val="22"/>
          <w:szCs w:val="22"/>
        </w:rPr>
        <w:t>ių</w:t>
      </w:r>
      <w:r w:rsidR="00230674" w:rsidRPr="0051670A">
        <w:rPr>
          <w:sz w:val="22"/>
          <w:szCs w:val="22"/>
        </w:rPr>
        <w:t xml:space="preserve"> tyrimų reagentai, pagalbinės priemonės bei įranga turi būti įsigyjami iš vieno tiekėjo. </w:t>
      </w:r>
    </w:p>
    <w:p w14:paraId="7C054B5E" w14:textId="71AC15E3" w:rsidR="006F4762" w:rsidRPr="0051670A" w:rsidRDefault="006F4762" w:rsidP="00230674">
      <w:pPr>
        <w:pStyle w:val="Betarp"/>
        <w:spacing w:after="120"/>
        <w:ind w:firstLine="567"/>
        <w:contextualSpacing/>
        <w:jc w:val="both"/>
        <w:rPr>
          <w:sz w:val="22"/>
          <w:szCs w:val="22"/>
        </w:rPr>
      </w:pPr>
      <w:r w:rsidRPr="0051670A">
        <w:rPr>
          <w:sz w:val="22"/>
          <w:szCs w:val="22"/>
        </w:rPr>
        <w:t xml:space="preserve">Jeigu pirkimas būtų skaidomas į dalis ir skirtingi padaliniai naudotų skirtingų tiekėjų reagentus ar įrangą, atsirastų neigiamų padarinių. Skirtingų gamintojų BHT tyrimų metodikos skiriasi, yra taikomi skirtingi pamatinių biologinių verčių intervalai (normos ribos), todėl rezultatų palyginimas tarp padalinių taptų sudėtingas ar net </w:t>
      </w:r>
      <w:r w:rsidRPr="0051670A">
        <w:rPr>
          <w:sz w:val="22"/>
          <w:szCs w:val="22"/>
        </w:rPr>
        <w:lastRenderedPageBreak/>
        <w:t xml:space="preserve">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vienodą darbuotojų paruošimą, paprastesnį metodikos įsisavinimą, greitesnį rezultatų </w:t>
      </w:r>
      <w:proofErr w:type="spellStart"/>
      <w:r w:rsidRPr="0051670A">
        <w:rPr>
          <w:sz w:val="22"/>
          <w:szCs w:val="22"/>
        </w:rPr>
        <w:t>validavimą</w:t>
      </w:r>
      <w:proofErr w:type="spellEnd"/>
      <w:r w:rsidRPr="0051670A">
        <w:rPr>
          <w:sz w:val="22"/>
          <w:szCs w:val="22"/>
        </w:rPr>
        <w:t xml:space="preserve"> ir mažesnę žmogiškųjų klaidų riziką. Vienoda (t. y. vieno tiekėjo) sistema leidžia efektyviai integruoti tyrimų duomenis į Laboratorijos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p>
    <w:p w14:paraId="111AB867" w14:textId="1DBD9FFC" w:rsidR="006F4762" w:rsidRPr="0051670A" w:rsidRDefault="00171B83" w:rsidP="00230674">
      <w:pPr>
        <w:pStyle w:val="Betarp"/>
        <w:spacing w:after="120"/>
        <w:ind w:firstLine="567"/>
        <w:contextualSpacing/>
        <w:jc w:val="both"/>
        <w:rPr>
          <w:sz w:val="22"/>
          <w:szCs w:val="22"/>
        </w:rPr>
      </w:pPr>
      <w:r w:rsidRPr="0051670A">
        <w:rPr>
          <w:sz w:val="22"/>
          <w:szCs w:val="22"/>
        </w:rPr>
        <w:t>Atsižvelgiant į tai, pirkimo skaidymas į dalis neatitiktų racionalaus lėšų naudojimo principo, padidintų organizacinius kaštus ir sumažintų tyrimų patikimumą. Todėl pirkimą tikslinga vykdyti kaip vieną nedalomą objektą.</w:t>
      </w:r>
    </w:p>
    <w:p w14:paraId="3DFCDE8D" w14:textId="7AEE2027" w:rsidR="00171B83" w:rsidRPr="0051670A" w:rsidRDefault="005806DD" w:rsidP="00230674">
      <w:pPr>
        <w:pStyle w:val="Betarp"/>
        <w:spacing w:after="120"/>
        <w:ind w:firstLine="567"/>
        <w:contextualSpacing/>
        <w:jc w:val="both"/>
        <w:rPr>
          <w:rFonts w:cs="Times New Roman"/>
          <w:sz w:val="22"/>
          <w:szCs w:val="22"/>
        </w:rPr>
      </w:pPr>
      <w:r w:rsidRPr="0042393E">
        <w:rPr>
          <w:rFonts w:cstheme="minorHAnsi"/>
          <w:b/>
          <w:bCs/>
          <w:sz w:val="22"/>
          <w:szCs w:val="22"/>
        </w:rPr>
        <w:t>Pagrindimas dėl sutarties 5 metų laikotarpiui</w:t>
      </w:r>
      <w:r w:rsidRPr="0042393E">
        <w:rPr>
          <w:rFonts w:cstheme="minorHAnsi"/>
          <w:sz w:val="22"/>
          <w:szCs w:val="22"/>
        </w:rPr>
        <w:t>:</w:t>
      </w:r>
      <w:r w:rsidR="000D3760" w:rsidRPr="00C33980">
        <w:rPr>
          <w:rFonts w:cstheme="minorHAnsi"/>
          <w:sz w:val="22"/>
          <w:szCs w:val="22"/>
        </w:rPr>
        <w:t xml:space="preserve"> </w:t>
      </w:r>
      <w:r w:rsidR="000D3760" w:rsidRPr="0051670A">
        <w:rPr>
          <w:rFonts w:cs="Times New Roman"/>
          <w:sz w:val="22"/>
          <w:szCs w:val="22"/>
        </w:rPr>
        <w:t xml:space="preserve">Pirkimas vykdomas dėl reagentų ir pagalbinių priemonių, skirtų Bendrojo hematologinio tyrimo su automatizuota ≥ 5-ių dalių </w:t>
      </w:r>
      <w:proofErr w:type="spellStart"/>
      <w:r w:rsidR="000D3760" w:rsidRPr="0051670A">
        <w:rPr>
          <w:rFonts w:cs="Times New Roman"/>
          <w:sz w:val="22"/>
          <w:szCs w:val="22"/>
        </w:rPr>
        <w:t>leukograma</w:t>
      </w:r>
      <w:proofErr w:type="spellEnd"/>
      <w:r w:rsidR="000D3760" w:rsidRPr="0051670A">
        <w:rPr>
          <w:rFonts w:cs="Times New Roman"/>
          <w:sz w:val="22"/>
          <w:szCs w:val="22"/>
        </w:rPr>
        <w:t xml:space="preserve"> (toliau BHT) tyrimų atlikimui, įskaitant analizatorių (toliau – įranga) panaudą su jų technine priežiūra dešimčiai perkančiosios organizacijos padalinių. Laboratorijose naudojama įranga yra gaminama ne Lietuvoje, kas sąlygoja didelius įrangos pristatymo finansinius ir laiko kaštus. Kiekvienos naujos įrangos instaliavimas, pajungimas į perkančiosios organizacijos Laboratorijos informacinę sistemą (LIS), sukalibravimas, darbuotojų apmokymas dirbti su nauja įranga taip pat reikalauja papildomų sąnaudų. Tais atvejais, kai sekantį viešąjį pirkimą laimi kitas, nei prieš tai turėtų laboratorijos reagentų ir įrangos tiekėjas, kito gamintojo tyrimų pamatiniai biologinių verčių intervalai (normos ribos) gali skirtis lyginant su prieš tai naudota kito gamintojo produkcija, todėl turi būti įvertinti naujieji pamatinių biologinių verčių intervalai, kas taip pat padidina laiko ir finansines sąnaudas. Pakeitus įrangą, LIS turi būti pakeista, pakoreguota ar net perprogramuota informacija. Kuo dažnesnis įrangos ir reagentų keitimas, tuo didesnės laiko ir finansinės išlaidos. Perkančiosios organizacijos darbuotojai, kurie dirba su naujai instaliuota įranga, vadovaujantis pirkimo dokumentais</w:t>
      </w:r>
      <w:r w:rsidR="00C04B5B">
        <w:rPr>
          <w:rFonts w:cs="Times New Roman"/>
          <w:sz w:val="22"/>
          <w:szCs w:val="22"/>
        </w:rPr>
        <w:t>,</w:t>
      </w:r>
      <w:r w:rsidR="000D3760" w:rsidRPr="0051670A">
        <w:rPr>
          <w:rFonts w:cs="Times New Roman"/>
          <w:sz w:val="22"/>
          <w:szCs w:val="22"/>
        </w:rPr>
        <w:t xml:space="preserve"> apmokomi ja naudotis. Iš praktikos žinoma, kad perkančiosios organizacijos laboratorijos efektyviausias darbo našumas pasiekiamas tik po tam tikro laiko, kai darbuotojai gerai įsisavina darbo su nauja įranga subtilybes, įsisavina didelį kiekį naujos informacijos, įsigilina į tyrimų metodų niuansus ir tuo vadovaudamiesi priima teisingiausius sprendimus patvirtindami tyrimų rezultatus. Kuo ilgiau personalas dirba su to paties tipo įranga ir tyrimų metodika, tuo, mažesnis atsitiktinių žmogiškojo faktoriaus įtakotų klaidų skaičius. Laboratorinių prietaisų nusidėvėjimo laikotarpis yra vidutiniškai 5–8 metai, todėl, jei sutartis sudaroma tik 3 metų laikotarpiui, ekonominiu požiūriu, ji yra brangesnė, nes tiekėjai išskirsto įrangos įsigijimo, pristatymo, instaliavimo, priežiūros kaštus trumpesniam laikotarpiui taip pabrangindami siūlomus reagentus ir papildomas priemones</w:t>
      </w:r>
      <w:r w:rsidR="00240A3B" w:rsidRPr="0051670A">
        <w:rPr>
          <w:rFonts w:cs="Times New Roman"/>
          <w:sz w:val="22"/>
          <w:szCs w:val="22"/>
        </w:rPr>
        <w:t xml:space="preserve">. </w:t>
      </w:r>
    </w:p>
    <w:p w14:paraId="48F3F2F6" w14:textId="4486A5BC" w:rsidR="005D38C5" w:rsidRPr="0042393E" w:rsidRDefault="00240A3B" w:rsidP="006843CD">
      <w:pPr>
        <w:pStyle w:val="Betarp"/>
        <w:ind w:firstLine="567"/>
        <w:contextualSpacing/>
        <w:jc w:val="both"/>
        <w:rPr>
          <w:rFonts w:cstheme="minorHAnsi"/>
          <w:sz w:val="22"/>
          <w:szCs w:val="22"/>
        </w:rPr>
      </w:pPr>
      <w:r w:rsidRPr="0051670A">
        <w:rPr>
          <w:rFonts w:cs="Times New Roman"/>
          <w:sz w:val="22"/>
          <w:szCs w:val="22"/>
        </w:rPr>
        <w:t>Atsižvelgiant į tai, kas išdėstyta, siekiant racionaliai naudoti lėšas ir užtikrinti stabilų tyrimų atlikimo procesą, tikslinga laboratorijos reagentų pirkimo su analizatoriaus panauda ir priežiūra sutartį sudaryti bent 5 metų laikotarpiui.</w:t>
      </w:r>
    </w:p>
    <w:p w14:paraId="0CA81FB8" w14:textId="71AA22C6" w:rsidR="00325243" w:rsidRPr="00682B25" w:rsidRDefault="00E53E12" w:rsidP="0051670A">
      <w:pPr>
        <w:pStyle w:val="Sraopastraipa"/>
        <w:numPr>
          <w:ilvl w:val="1"/>
          <w:numId w:val="11"/>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1670A">
      <w:pPr>
        <w:pStyle w:val="Sraopastraipa"/>
        <w:numPr>
          <w:ilvl w:val="1"/>
          <w:numId w:val="11"/>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1670A">
      <w:pPr>
        <w:pStyle w:val="Sraopastraipa"/>
        <w:numPr>
          <w:ilvl w:val="1"/>
          <w:numId w:val="11"/>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364E96">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292638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51670A">
      <w:pPr>
        <w:pStyle w:val="Sraopastraipa"/>
        <w:numPr>
          <w:ilvl w:val="1"/>
          <w:numId w:val="9"/>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364E96" w:rsidRDefault="00BE0587" w:rsidP="0051670A">
      <w:pPr>
        <w:pStyle w:val="Body2"/>
        <w:numPr>
          <w:ilvl w:val="1"/>
          <w:numId w:val="9"/>
        </w:numPr>
        <w:spacing w:after="0"/>
        <w:ind w:firstLine="207"/>
        <w:rPr>
          <w:rFonts w:asciiTheme="minorHAnsi" w:hAnsiTheme="minorHAnsi" w:cstheme="minorHAnsi"/>
          <w:sz w:val="22"/>
          <w:szCs w:val="22"/>
          <w:lang w:val="lt-LT"/>
        </w:rPr>
      </w:pPr>
      <w:r w:rsidRPr="002D541B">
        <w:rPr>
          <w:rFonts w:asciiTheme="minorHAnsi" w:eastAsiaTheme="minorHAnsi" w:hAnsiTheme="minorHAnsi" w:cstheme="minorHAnsi"/>
          <w:sz w:val="22"/>
          <w:szCs w:val="22"/>
          <w:lang w:val="lt-LT"/>
        </w:rPr>
        <w:t>P</w:t>
      </w:r>
      <w:r w:rsidRPr="002D541B">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2926388"/>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51670A">
      <w:pPr>
        <w:pStyle w:val="Sraopastraipa"/>
        <w:numPr>
          <w:ilvl w:val="1"/>
          <w:numId w:val="8"/>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15D4C87" w:rsidR="00DD2AC6" w:rsidRPr="008D2679" w:rsidRDefault="00990E9B" w:rsidP="0051670A">
      <w:pPr>
        <w:pStyle w:val="Sraopastraipa"/>
        <w:numPr>
          <w:ilvl w:val="1"/>
          <w:numId w:val="8"/>
        </w:numPr>
        <w:spacing w:after="0" w:line="20" w:lineRule="atLeast"/>
        <w:ind w:left="0" w:firstLine="567"/>
        <w:jc w:val="both"/>
        <w:rPr>
          <w:rFonts w:cstheme="minorHAnsi"/>
          <w:color w:val="000000" w:themeColor="text1"/>
          <w:sz w:val="22"/>
          <w:szCs w:val="22"/>
        </w:rPr>
      </w:pPr>
      <w:r w:rsidRPr="008D2679">
        <w:rPr>
          <w:rFonts w:cstheme="minorHAnsi"/>
          <w:color w:val="000000" w:themeColor="text1"/>
          <w:sz w:val="22"/>
          <w:szCs w:val="22"/>
        </w:rPr>
        <w:t>Tiekėjams nenustatomi kvalifikacijos reikalavimai</w:t>
      </w:r>
      <w:r w:rsidR="005C16FF" w:rsidRPr="008D2679">
        <w:rPr>
          <w:rFonts w:eastAsia="Calibri" w:cstheme="minorHAnsi"/>
          <w:color w:val="000000" w:themeColor="text1"/>
          <w:sz w:val="22"/>
          <w:szCs w:val="22"/>
        </w:rPr>
        <w:t>.</w:t>
      </w:r>
    </w:p>
    <w:p w14:paraId="61D31483" w14:textId="087A5692" w:rsidR="004C12BE" w:rsidRPr="004C12BE" w:rsidRDefault="00196B86" w:rsidP="0051670A">
      <w:pPr>
        <w:pStyle w:val="Sraopastraipa"/>
        <w:numPr>
          <w:ilvl w:val="1"/>
          <w:numId w:val="8"/>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51670A">
      <w:pPr>
        <w:pStyle w:val="Sraopastraipa"/>
        <w:numPr>
          <w:ilvl w:val="2"/>
          <w:numId w:val="8"/>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1670A">
      <w:pPr>
        <w:pStyle w:val="Sraopastraipa"/>
        <w:numPr>
          <w:ilvl w:val="2"/>
          <w:numId w:val="8"/>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51670A">
      <w:pPr>
        <w:pStyle w:val="Sraopastraipa"/>
        <w:numPr>
          <w:ilvl w:val="2"/>
          <w:numId w:val="8"/>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51670A" w:rsidRDefault="00AF7093" w:rsidP="0051670A">
      <w:pPr>
        <w:pStyle w:val="Sraopastraipa"/>
        <w:numPr>
          <w:ilvl w:val="1"/>
          <w:numId w:val="8"/>
        </w:numPr>
        <w:spacing w:after="0" w:line="20" w:lineRule="atLeast"/>
        <w:ind w:left="0" w:firstLine="567"/>
        <w:jc w:val="both"/>
        <w:rPr>
          <w:rFonts w:cstheme="minorHAnsi"/>
          <w:bCs/>
          <w:iCs/>
          <w:sz w:val="22"/>
          <w:szCs w:val="22"/>
        </w:rPr>
      </w:pPr>
      <w:r w:rsidRPr="0051670A">
        <w:rPr>
          <w:rFonts w:cstheme="minorHAnsi"/>
          <w:bCs/>
          <w:iCs/>
          <w:sz w:val="22"/>
          <w:szCs w:val="22"/>
        </w:rPr>
        <w:t xml:space="preserve">Tais atvejais, kai tiekėjas naudojasi (naudosis) trečiųjų asmenų, kurie tiesiogiai aktyviai, savo veiksmais neprisidės prie </w:t>
      </w:r>
      <w:r w:rsidR="0096711E" w:rsidRPr="0051670A">
        <w:rPr>
          <w:rFonts w:cstheme="minorHAnsi"/>
          <w:bCs/>
          <w:iCs/>
          <w:sz w:val="22"/>
          <w:szCs w:val="22"/>
        </w:rPr>
        <w:t>perkančiosios organizacijos</w:t>
      </w:r>
      <w:r w:rsidRPr="0051670A">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51670A">
        <w:rPr>
          <w:rFonts w:cstheme="minorHAnsi"/>
          <w:bCs/>
          <w:iCs/>
          <w:sz w:val="22"/>
          <w:szCs w:val="22"/>
        </w:rPr>
        <w:t>tokie asmenys nelaikomi subtiekėjais</w:t>
      </w:r>
      <w:r w:rsidR="00FB2E4E" w:rsidRPr="0051670A">
        <w:rPr>
          <w:rFonts w:cstheme="minorHAnsi"/>
          <w:bCs/>
          <w:iCs/>
          <w:sz w:val="22"/>
          <w:szCs w:val="22"/>
        </w:rPr>
        <w:t xml:space="preserve"> ir (ar) ūkio subjektais, kurių pajėgumais tiekėjas remiasi, kad atitiktų kvalifikacijos reikalavimus</w:t>
      </w:r>
      <w:r w:rsidR="00597F1C" w:rsidRPr="0051670A">
        <w:rPr>
          <w:rFonts w:cstheme="minorHAnsi"/>
          <w:bCs/>
          <w:iCs/>
          <w:sz w:val="22"/>
          <w:szCs w:val="22"/>
        </w:rPr>
        <w:t>,</w:t>
      </w:r>
      <w:r w:rsidR="005E52AA" w:rsidRPr="0051670A">
        <w:rPr>
          <w:rFonts w:cstheme="minorHAnsi"/>
          <w:bCs/>
          <w:iCs/>
          <w:sz w:val="22"/>
          <w:szCs w:val="22"/>
        </w:rPr>
        <w:t xml:space="preserve"> ir tiekėjas </w:t>
      </w:r>
      <w:r w:rsidRPr="0051670A">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1670A">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22926389"/>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0FA5C1E2"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E84A8D">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AB6184" w:rsidRPr="00E84A8D">
        <w:rPr>
          <w:rFonts w:ascii="Calibri" w:eastAsia="Calibri" w:hAnsi="Calibri" w:cs="Calibri"/>
          <w:i/>
          <w:iCs/>
          <w:color w:val="000000" w:themeColor="text1"/>
          <w:sz w:val="22"/>
          <w:szCs w:val="22"/>
        </w:rPr>
        <w:t>30211200-3 Pagrindinė techninė kompiuterio įranga</w:t>
      </w:r>
      <w:r w:rsidRPr="00E84A8D">
        <w:rPr>
          <w:rFonts w:ascii="Calibri" w:eastAsia="Calibri" w:hAnsi="Calibri" w:cs="Calibri"/>
          <w:i/>
          <w:iCs/>
          <w:color w:val="000000" w:themeColor="text1"/>
          <w:sz w:val="22"/>
          <w:szCs w:val="22"/>
        </w:rPr>
        <w:t xml:space="preserve">; </w:t>
      </w:r>
      <w:r w:rsidR="00077B72" w:rsidRPr="00E84A8D">
        <w:rPr>
          <w:rFonts w:ascii="Calibri" w:eastAsia="Calibri" w:hAnsi="Calibri" w:cs="Calibri"/>
          <w:i/>
          <w:iCs/>
          <w:color w:val="000000" w:themeColor="text1"/>
          <w:sz w:val="22"/>
          <w:szCs w:val="22"/>
        </w:rPr>
        <w:t>31154000-0 Nenutrūkstamojo maitinimo šaltiniai</w:t>
      </w:r>
      <w:r w:rsidRPr="00E84A8D">
        <w:rPr>
          <w:rFonts w:ascii="Calibri" w:eastAsia="Calibri" w:hAnsi="Calibri" w:cs="Calibri"/>
          <w:i/>
          <w:iCs/>
          <w:color w:val="000000" w:themeColor="text1"/>
          <w:sz w:val="22"/>
          <w:szCs w:val="22"/>
        </w:rPr>
        <w:t xml:space="preserve">; </w:t>
      </w:r>
      <w:r w:rsidR="004B3B12" w:rsidRPr="00E84A8D">
        <w:rPr>
          <w:rFonts w:ascii="Calibri" w:eastAsia="Calibri" w:hAnsi="Calibri" w:cs="Calibri"/>
          <w:i/>
          <w:iCs/>
          <w:color w:val="000000" w:themeColor="text1"/>
          <w:sz w:val="22"/>
          <w:szCs w:val="22"/>
        </w:rPr>
        <w:t>48900000-7 Įvairūs programinės įrangos paketai ir kompiuterių sistemos</w:t>
      </w:r>
      <w:r w:rsidRPr="00E84A8D">
        <w:rPr>
          <w:rFonts w:ascii="Calibri" w:eastAsia="Calibri" w:hAnsi="Calibri" w:cs="Calibri"/>
          <w:i/>
          <w:iCs/>
          <w:color w:val="000000" w:themeColor="text1"/>
          <w:sz w:val="22"/>
          <w:szCs w:val="22"/>
        </w:rPr>
        <w:t xml:space="preserve">; </w:t>
      </w:r>
      <w:r w:rsidR="004E63EC" w:rsidRPr="00E84A8D">
        <w:rPr>
          <w:rFonts w:ascii="Calibri" w:eastAsia="Calibri" w:hAnsi="Calibri" w:cs="Calibri"/>
          <w:i/>
          <w:iCs/>
          <w:color w:val="000000" w:themeColor="text1"/>
          <w:sz w:val="22"/>
          <w:szCs w:val="22"/>
        </w:rPr>
        <w:t>50312000: Kompiuterių įrangos priežiūra ir remontas</w:t>
      </w:r>
      <w:r w:rsidRPr="00E84A8D">
        <w:rPr>
          <w:rFonts w:ascii="Calibri" w:eastAsia="Calibri" w:hAnsi="Calibri" w:cs="Calibri"/>
          <w:i/>
          <w:iCs/>
          <w:color w:val="000000" w:themeColor="text1"/>
          <w:sz w:val="22"/>
          <w:szCs w:val="22"/>
        </w:rPr>
        <w:t>. 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26B62E15">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D9DF040" w14:textId="29FCD47D" w:rsidR="004059CE" w:rsidRDefault="004059CE" w:rsidP="00A82FEF">
      <w:pPr>
        <w:spacing w:after="0" w:line="240" w:lineRule="auto"/>
        <w:ind w:firstLine="567"/>
        <w:jc w:val="both"/>
        <w:rPr>
          <w:rFonts w:ascii="Calibri" w:eastAsia="Calibri" w:hAnsi="Calibri" w:cs="Calibri"/>
          <w:i/>
          <w:iCs/>
          <w:color w:val="000000" w:themeColor="text1"/>
          <w:sz w:val="22"/>
          <w:szCs w:val="22"/>
        </w:rPr>
      </w:pPr>
      <w:r w:rsidRPr="00E84A8D">
        <w:rPr>
          <w:rFonts w:ascii="Calibri" w:eastAsia="Calibri" w:hAnsi="Calibri" w:cs="Calibri"/>
          <w:i/>
          <w:iCs/>
          <w:color w:val="000000" w:themeColor="text1"/>
          <w:sz w:val="22"/>
          <w:szCs w:val="22"/>
        </w:rPr>
        <w:t>Reikalavimas taikomas pirkimo objekto sudėtiniams elementams (ne visam pirkimo objektui), kurių BVPŽ kodai yra: 30211200-3 Pagrindinė techninė kompiuterio įranga; 31154000-0 Nenutrūkstamojo maitinimo šaltiniai; 48900000-7 Įvairūs programinės įrangos paketai ir kompiuterių sistemos; 50312000 Kompiuterių įrangos priežiūra ir remontas. Pirkimo objekto sudėtiniai elementai ir jų BVPŽ kodai nurodyti pirkimo sąlygų 2 priede „Techninė specifikacija“.</w:t>
      </w:r>
    </w:p>
    <w:p w14:paraId="7A4AF5F2" w14:textId="0D270956"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292639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51670A">
      <w:pPr>
        <w:pStyle w:val="Sraopastraipa"/>
        <w:numPr>
          <w:ilvl w:val="1"/>
          <w:numId w:val="1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51670A">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22573">
        <w:rPr>
          <w:rFonts w:cstheme="minorHAnsi"/>
          <w:color w:val="000000" w:themeColor="text1"/>
          <w:sz w:val="22"/>
          <w:szCs w:val="22"/>
        </w:rPr>
        <w:t>3</w:t>
      </w:r>
      <w:r w:rsidR="008E5F93" w:rsidRPr="00322573">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75AD9F8" w14:textId="77777777" w:rsidR="00B44446" w:rsidRPr="00B44446"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įgaliojimas ar kitas dokumentas (pvz., pareigybės aprašymas), suteikiantis teisę pateikti tiekėjo pasiūlymą, kai pasiūlymą teikia ne juridinio asmens vadovas, o jo įgaliotas asmuo; </w:t>
      </w:r>
    </w:p>
    <w:p w14:paraId="7368EC1D" w14:textId="77777777" w:rsidR="00B44446" w:rsidRPr="00B44446"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 </w:t>
      </w:r>
    </w:p>
    <w:p w14:paraId="1222A858" w14:textId="77777777" w:rsidR="007F11EC"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užpildyta techninė specifikacija (pirkimo sąlygų 2 priedas);</w:t>
      </w:r>
    </w:p>
    <w:p w14:paraId="41521BAF" w14:textId="77777777" w:rsidR="001E5793" w:rsidRPr="001E5793" w:rsidRDefault="001E5793" w:rsidP="0051670A">
      <w:pPr>
        <w:pStyle w:val="Sraopastraipa"/>
        <w:numPr>
          <w:ilvl w:val="2"/>
          <w:numId w:val="5"/>
        </w:numPr>
        <w:spacing w:after="0" w:line="240" w:lineRule="auto"/>
        <w:ind w:left="0" w:firstLine="567"/>
        <w:rPr>
          <w:rFonts w:cstheme="minorHAnsi"/>
          <w:color w:val="000000" w:themeColor="text1"/>
          <w:sz w:val="22"/>
          <w:szCs w:val="22"/>
        </w:rPr>
      </w:pPr>
      <w:r w:rsidRPr="00EE2920">
        <w:rPr>
          <w:rFonts w:ascii="Calibri" w:hAnsi="Calibri" w:cs="Calibri"/>
          <w:color w:val="000000" w:themeColor="text1"/>
          <w:sz w:val="22"/>
          <w:szCs w:val="22"/>
        </w:rPr>
        <w:t xml:space="preserve">CE sertifikatai arba lygiaverčiai dokumentai, patvirtinantys, kad tiekėjo siūlomos prekės atitinka Medicinos priemonių reglamento (2017/745/ES) ir </w:t>
      </w:r>
      <w:proofErr w:type="spellStart"/>
      <w:r w:rsidRPr="00EE2920">
        <w:rPr>
          <w:rFonts w:ascii="Calibri" w:hAnsi="Calibri" w:cs="Calibri"/>
          <w:color w:val="000000" w:themeColor="text1"/>
          <w:sz w:val="22"/>
          <w:szCs w:val="22"/>
        </w:rPr>
        <w:t>in</w:t>
      </w:r>
      <w:proofErr w:type="spellEnd"/>
      <w:r w:rsidRPr="00EE2920">
        <w:rPr>
          <w:rFonts w:ascii="Calibri" w:hAnsi="Calibri" w:cs="Calibri"/>
          <w:color w:val="000000" w:themeColor="text1"/>
          <w:sz w:val="22"/>
          <w:szCs w:val="22"/>
        </w:rPr>
        <w:t xml:space="preserve"> </w:t>
      </w:r>
      <w:proofErr w:type="spellStart"/>
      <w:r w:rsidRPr="00EE2920">
        <w:rPr>
          <w:rFonts w:ascii="Calibri" w:hAnsi="Calibri" w:cs="Calibri"/>
          <w:color w:val="000000" w:themeColor="text1"/>
          <w:sz w:val="22"/>
          <w:szCs w:val="22"/>
        </w:rPr>
        <w:t>vitro</w:t>
      </w:r>
      <w:proofErr w:type="spellEnd"/>
      <w:r w:rsidRPr="00EE2920">
        <w:rPr>
          <w:rFonts w:ascii="Calibri" w:hAnsi="Calibri" w:cs="Calibri"/>
          <w:color w:val="000000" w:themeColor="text1"/>
          <w:sz w:val="22"/>
          <w:szCs w:val="22"/>
        </w:rPr>
        <w:t xml:space="preserve"> diagnostikos medicinos priemonių reglamento (IVDR) (2017/746/ES) nustatytus reikalavimus arba </w:t>
      </w:r>
      <w:proofErr w:type="spellStart"/>
      <w:r w:rsidRPr="00EE2920">
        <w:rPr>
          <w:rFonts w:ascii="Calibri" w:hAnsi="Calibri" w:cs="Calibri"/>
          <w:color w:val="000000" w:themeColor="text1"/>
          <w:sz w:val="22"/>
          <w:szCs w:val="22"/>
        </w:rPr>
        <w:t>in</w:t>
      </w:r>
      <w:proofErr w:type="spellEnd"/>
      <w:r w:rsidRPr="00EE2920">
        <w:rPr>
          <w:rFonts w:ascii="Calibri" w:hAnsi="Calibri" w:cs="Calibri"/>
          <w:color w:val="000000" w:themeColor="text1"/>
          <w:sz w:val="22"/>
          <w:szCs w:val="22"/>
        </w:rPr>
        <w:t xml:space="preserve"> </w:t>
      </w:r>
      <w:proofErr w:type="spellStart"/>
      <w:r w:rsidRPr="00EE2920">
        <w:rPr>
          <w:rFonts w:ascii="Calibri" w:hAnsi="Calibri" w:cs="Calibri"/>
          <w:color w:val="000000" w:themeColor="text1"/>
          <w:sz w:val="22"/>
          <w:szCs w:val="22"/>
        </w:rPr>
        <w:t>vitro</w:t>
      </w:r>
      <w:proofErr w:type="spellEnd"/>
      <w:r w:rsidRPr="00EE2920">
        <w:rPr>
          <w:rFonts w:ascii="Calibri" w:hAnsi="Calibri" w:cs="Calibri"/>
          <w:color w:val="000000" w:themeColor="text1"/>
          <w:sz w:val="22"/>
          <w:szCs w:val="22"/>
        </w:rPr>
        <w:t xml:space="preserve"> diagnostikos direktyvos (IVDD) (98/79/EC) reikalavimus, jeigu siūlomiems produktams pagal IVDR 110 straipsnį vis dar galioja IVDD išduoti sertifikatai</w:t>
      </w:r>
      <w:r>
        <w:rPr>
          <w:rFonts w:ascii="Calibri" w:hAnsi="Calibri" w:cs="Calibri"/>
          <w:color w:val="000000" w:themeColor="text1"/>
          <w:sz w:val="22"/>
          <w:szCs w:val="22"/>
        </w:rPr>
        <w:t>;</w:t>
      </w:r>
    </w:p>
    <w:p w14:paraId="60F8AE9C" w14:textId="67510F9A" w:rsidR="007F79F3" w:rsidRPr="007F79F3" w:rsidRDefault="007F79F3" w:rsidP="0051670A">
      <w:pPr>
        <w:pStyle w:val="Sraopastraipa"/>
        <w:numPr>
          <w:ilvl w:val="2"/>
          <w:numId w:val="5"/>
        </w:numPr>
        <w:spacing w:after="0" w:line="240" w:lineRule="auto"/>
        <w:ind w:left="0" w:firstLine="567"/>
        <w:rPr>
          <w:rFonts w:cstheme="minorHAnsi"/>
          <w:color w:val="000000" w:themeColor="text1"/>
          <w:sz w:val="22"/>
          <w:szCs w:val="22"/>
        </w:rPr>
      </w:pPr>
      <w:r>
        <w:rPr>
          <w:rFonts w:ascii="Calibri" w:hAnsi="Calibri" w:cs="Calibri"/>
          <w:color w:val="000000" w:themeColor="text1"/>
          <w:sz w:val="22"/>
          <w:szCs w:val="22"/>
        </w:rPr>
        <w:t>s</w:t>
      </w:r>
      <w:r w:rsidRPr="00B403EF">
        <w:rPr>
          <w:rFonts w:ascii="Calibri" w:hAnsi="Calibri" w:cs="Calibri"/>
          <w:color w:val="000000" w:themeColor="text1"/>
          <w:sz w:val="22"/>
          <w:szCs w:val="22"/>
        </w:rPr>
        <w:t>iūlomos įrangos (analizatorių, programinės įrangos) naudojimosi instrukcijos, kiti gamintojo parengti techniniai aprašai</w:t>
      </w:r>
      <w:r>
        <w:rPr>
          <w:rFonts w:ascii="Calibri" w:hAnsi="Calibri" w:cs="Calibri"/>
          <w:color w:val="000000" w:themeColor="text1"/>
          <w:sz w:val="22"/>
          <w:szCs w:val="22"/>
        </w:rPr>
        <w:t>;</w:t>
      </w:r>
    </w:p>
    <w:p w14:paraId="1B36F977" w14:textId="06054636" w:rsidR="00B44446" w:rsidRPr="00346040"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 </w:t>
      </w:r>
      <w:r w:rsidR="00346040">
        <w:rPr>
          <w:rFonts w:ascii="Calibri" w:hAnsi="Calibri" w:cs="Calibri"/>
          <w:color w:val="000000" w:themeColor="text1"/>
          <w:sz w:val="22"/>
          <w:szCs w:val="22"/>
        </w:rPr>
        <w:t>t</w:t>
      </w:r>
      <w:r w:rsidR="00346040" w:rsidRPr="000E2545">
        <w:rPr>
          <w:rFonts w:ascii="Calibri" w:hAnsi="Calibri" w:cs="Calibri"/>
          <w:color w:val="000000" w:themeColor="text1"/>
          <w:sz w:val="22"/>
          <w:szCs w:val="22"/>
        </w:rPr>
        <w:t>yrimams atlikti naudojamų reagentų ir papildomų priemonių naudojimosi instrukcijos</w:t>
      </w:r>
      <w:r w:rsidR="00346040">
        <w:rPr>
          <w:rFonts w:ascii="Calibri" w:hAnsi="Calibri" w:cs="Calibri"/>
          <w:color w:val="000000" w:themeColor="text1"/>
          <w:sz w:val="22"/>
          <w:szCs w:val="22"/>
        </w:rPr>
        <w:t>;</w:t>
      </w:r>
    </w:p>
    <w:p w14:paraId="632FE141" w14:textId="7C44B40C" w:rsidR="00346040" w:rsidRPr="00A32392" w:rsidRDefault="00A32392" w:rsidP="0051670A">
      <w:pPr>
        <w:pStyle w:val="Sraopastraipa"/>
        <w:numPr>
          <w:ilvl w:val="2"/>
          <w:numId w:val="5"/>
        </w:numPr>
        <w:spacing w:after="0" w:line="240" w:lineRule="auto"/>
        <w:ind w:left="0" w:firstLine="567"/>
        <w:rPr>
          <w:rFonts w:cstheme="minorHAnsi"/>
          <w:color w:val="000000" w:themeColor="text1"/>
          <w:sz w:val="22"/>
          <w:szCs w:val="22"/>
        </w:rPr>
      </w:pPr>
      <w:r>
        <w:rPr>
          <w:rFonts w:ascii="Calibri" w:hAnsi="Calibri" w:cs="Calibri"/>
          <w:color w:val="000000" w:themeColor="text1"/>
          <w:sz w:val="22"/>
          <w:szCs w:val="22"/>
        </w:rPr>
        <w:t>r</w:t>
      </w:r>
      <w:r w:rsidRPr="005A5F51">
        <w:rPr>
          <w:rFonts w:ascii="Calibri" w:hAnsi="Calibri" w:cs="Calibri"/>
          <w:color w:val="000000" w:themeColor="text1"/>
          <w:sz w:val="22"/>
          <w:szCs w:val="22"/>
        </w:rPr>
        <w:t xml:space="preserve">eagentų gamintojo parengtos tyrimams skirtų reagentų naudojimo instrukcijos, kuriose turi būti nurodyta, su kokia įranga galima naudoti šiuos reagentus (t. y., reagento ir panaudai siūlomos įrangos sistema turi būti </w:t>
      </w:r>
      <w:proofErr w:type="spellStart"/>
      <w:r w:rsidRPr="005A5F51">
        <w:rPr>
          <w:rFonts w:ascii="Calibri" w:hAnsi="Calibri" w:cs="Calibri"/>
          <w:color w:val="000000" w:themeColor="text1"/>
          <w:sz w:val="22"/>
          <w:szCs w:val="22"/>
        </w:rPr>
        <w:t>validuota</w:t>
      </w:r>
      <w:proofErr w:type="spellEnd"/>
      <w:r w:rsidRPr="005A5F51">
        <w:rPr>
          <w:rFonts w:ascii="Calibri" w:hAnsi="Calibri" w:cs="Calibri"/>
          <w:color w:val="000000" w:themeColor="text1"/>
          <w:sz w:val="22"/>
          <w:szCs w:val="22"/>
        </w:rPr>
        <w:t xml:space="preserve"> tyrimui atlikti)</w:t>
      </w:r>
      <w:r w:rsidR="00383169">
        <w:rPr>
          <w:rFonts w:ascii="Calibri" w:hAnsi="Calibri" w:cs="Calibri"/>
          <w:color w:val="000000" w:themeColor="text1"/>
          <w:sz w:val="22"/>
          <w:szCs w:val="22"/>
        </w:rPr>
        <w:t xml:space="preserve"> </w:t>
      </w:r>
      <w:r w:rsidR="00383169" w:rsidRPr="007221F3">
        <w:rPr>
          <w:rFonts w:ascii="Calibri" w:hAnsi="Calibri" w:cs="Calibri"/>
          <w:i/>
          <w:iCs/>
          <w:color w:val="000000" w:themeColor="text1"/>
          <w:sz w:val="22"/>
          <w:szCs w:val="22"/>
        </w:rPr>
        <w:t>(</w:t>
      </w:r>
      <w:r w:rsidR="00383169">
        <w:rPr>
          <w:rFonts w:ascii="Calibri" w:hAnsi="Calibri" w:cs="Calibri"/>
          <w:i/>
          <w:iCs/>
          <w:color w:val="000000" w:themeColor="text1"/>
          <w:sz w:val="22"/>
          <w:szCs w:val="22"/>
        </w:rPr>
        <w:t xml:space="preserve">dokumentai teikiami, </w:t>
      </w:r>
      <w:r w:rsidR="00383169" w:rsidRPr="007221F3">
        <w:rPr>
          <w:rFonts w:ascii="Calibri" w:hAnsi="Calibri" w:cs="Calibri"/>
          <w:i/>
          <w:iCs/>
          <w:color w:val="000000" w:themeColor="text1"/>
          <w:sz w:val="22"/>
          <w:szCs w:val="22"/>
        </w:rPr>
        <w:t xml:space="preserve">jei siūlomi reagentai yra </w:t>
      </w:r>
      <w:r w:rsidR="00383169" w:rsidRPr="004F4BAD">
        <w:rPr>
          <w:rFonts w:ascii="Calibri" w:hAnsi="Calibri" w:cs="Calibri"/>
          <w:b/>
          <w:bCs/>
          <w:i/>
          <w:iCs/>
          <w:color w:val="000000" w:themeColor="text1"/>
          <w:sz w:val="22"/>
          <w:szCs w:val="22"/>
        </w:rPr>
        <w:t>ne to paties</w:t>
      </w:r>
      <w:r w:rsidR="00383169" w:rsidRPr="007221F3">
        <w:rPr>
          <w:rFonts w:ascii="Calibri" w:hAnsi="Calibri" w:cs="Calibri"/>
          <w:i/>
          <w:iCs/>
          <w:color w:val="000000" w:themeColor="text1"/>
          <w:sz w:val="22"/>
          <w:szCs w:val="22"/>
        </w:rPr>
        <w:t xml:space="preserve"> gamintojo kaip siūloma įranga)</w:t>
      </w:r>
      <w:r>
        <w:rPr>
          <w:rFonts w:ascii="Calibri" w:hAnsi="Calibri" w:cs="Calibri"/>
          <w:color w:val="000000" w:themeColor="text1"/>
          <w:sz w:val="22"/>
          <w:szCs w:val="22"/>
        </w:rPr>
        <w:t>;</w:t>
      </w:r>
    </w:p>
    <w:p w14:paraId="17E1B597" w14:textId="151A752D" w:rsidR="001A74D4" w:rsidRPr="007C0AEF" w:rsidRDefault="001A74D4" w:rsidP="007C0AEF">
      <w:pPr>
        <w:pStyle w:val="Sraopastraipa"/>
        <w:numPr>
          <w:ilvl w:val="2"/>
          <w:numId w:val="5"/>
        </w:numPr>
        <w:spacing w:after="0" w:line="240" w:lineRule="auto"/>
        <w:ind w:left="0" w:firstLine="567"/>
        <w:rPr>
          <w:rFonts w:cstheme="minorHAnsi"/>
          <w:color w:val="000000" w:themeColor="text1"/>
          <w:sz w:val="22"/>
          <w:szCs w:val="22"/>
        </w:rPr>
      </w:pPr>
      <w:r>
        <w:rPr>
          <w:rFonts w:ascii="Calibri" w:hAnsi="Calibri" w:cs="Calibri"/>
          <w:color w:val="000000" w:themeColor="text1"/>
          <w:sz w:val="22"/>
          <w:szCs w:val="22"/>
        </w:rPr>
        <w:t>p</w:t>
      </w:r>
      <w:r w:rsidRPr="00A953C6">
        <w:rPr>
          <w:rFonts w:ascii="Calibri" w:hAnsi="Calibri" w:cs="Calibri"/>
          <w:color w:val="000000" w:themeColor="text1"/>
          <w:sz w:val="22"/>
          <w:szCs w:val="22"/>
        </w:rPr>
        <w:t>rietaiso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ir reagento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kad panaudai siūlomą prietaisą ir siūlomą reagentą galima naudoti kartu ir toks derinys yra </w:t>
      </w:r>
      <w:proofErr w:type="spellStart"/>
      <w:r w:rsidRPr="00A953C6">
        <w:rPr>
          <w:rFonts w:ascii="Calibri" w:hAnsi="Calibri" w:cs="Calibri"/>
          <w:color w:val="000000" w:themeColor="text1"/>
          <w:sz w:val="22"/>
          <w:szCs w:val="22"/>
        </w:rPr>
        <w:t>validuotas</w:t>
      </w:r>
      <w:proofErr w:type="spellEnd"/>
      <w:r w:rsidRPr="00A953C6">
        <w:rPr>
          <w:rFonts w:ascii="Calibri" w:hAnsi="Calibri" w:cs="Calibri"/>
          <w:color w:val="000000" w:themeColor="text1"/>
          <w:sz w:val="22"/>
          <w:szCs w:val="22"/>
        </w:rPr>
        <w:t xml:space="preserve"> atlikti kokybišką tyrimą</w:t>
      </w:r>
      <w:r w:rsidR="00383169">
        <w:rPr>
          <w:rFonts w:ascii="Calibri" w:hAnsi="Calibri" w:cs="Calibri"/>
          <w:color w:val="000000" w:themeColor="text1"/>
          <w:sz w:val="22"/>
          <w:szCs w:val="22"/>
        </w:rPr>
        <w:t xml:space="preserve"> </w:t>
      </w:r>
      <w:r w:rsidR="00383169" w:rsidRPr="007221F3">
        <w:rPr>
          <w:rFonts w:ascii="Calibri" w:hAnsi="Calibri" w:cs="Calibri"/>
          <w:i/>
          <w:iCs/>
          <w:color w:val="000000" w:themeColor="text1"/>
          <w:sz w:val="22"/>
          <w:szCs w:val="22"/>
        </w:rPr>
        <w:t>(</w:t>
      </w:r>
      <w:r w:rsidR="00383169">
        <w:rPr>
          <w:rFonts w:ascii="Calibri" w:hAnsi="Calibri" w:cs="Calibri"/>
          <w:i/>
          <w:iCs/>
          <w:color w:val="000000" w:themeColor="text1"/>
          <w:sz w:val="22"/>
          <w:szCs w:val="22"/>
        </w:rPr>
        <w:t xml:space="preserve">dokumentai teikiami, </w:t>
      </w:r>
      <w:r w:rsidR="00383169" w:rsidRPr="007221F3">
        <w:rPr>
          <w:rFonts w:ascii="Calibri" w:hAnsi="Calibri" w:cs="Calibri"/>
          <w:i/>
          <w:iCs/>
          <w:color w:val="000000" w:themeColor="text1"/>
          <w:sz w:val="22"/>
          <w:szCs w:val="22"/>
        </w:rPr>
        <w:t xml:space="preserve">jei siūlomi reagentai yra </w:t>
      </w:r>
      <w:r w:rsidR="00383169" w:rsidRPr="004F4BAD">
        <w:rPr>
          <w:rFonts w:ascii="Calibri" w:hAnsi="Calibri" w:cs="Calibri"/>
          <w:b/>
          <w:bCs/>
          <w:i/>
          <w:iCs/>
          <w:color w:val="000000" w:themeColor="text1"/>
          <w:sz w:val="22"/>
          <w:szCs w:val="22"/>
        </w:rPr>
        <w:t>ne to paties</w:t>
      </w:r>
      <w:r w:rsidR="00383169" w:rsidRPr="007221F3">
        <w:rPr>
          <w:rFonts w:ascii="Calibri" w:hAnsi="Calibri" w:cs="Calibri"/>
          <w:i/>
          <w:iCs/>
          <w:color w:val="000000" w:themeColor="text1"/>
          <w:sz w:val="22"/>
          <w:szCs w:val="22"/>
        </w:rPr>
        <w:t xml:space="preserve"> gamintojo kaip siūloma įranga)</w:t>
      </w:r>
      <w:r>
        <w:rPr>
          <w:rFonts w:ascii="Calibri" w:hAnsi="Calibri" w:cs="Calibri"/>
          <w:color w:val="000000" w:themeColor="text1"/>
          <w:sz w:val="22"/>
          <w:szCs w:val="22"/>
        </w:rPr>
        <w:t>;</w:t>
      </w:r>
    </w:p>
    <w:p w14:paraId="270D177C" w14:textId="77777777" w:rsidR="00B44446" w:rsidRPr="00B44446" w:rsidRDefault="00B44446" w:rsidP="0051670A">
      <w:pPr>
        <w:pStyle w:val="Sraopastraipa"/>
        <w:numPr>
          <w:ilvl w:val="2"/>
          <w:numId w:val="5"/>
        </w:numPr>
        <w:spacing w:after="0" w:line="240" w:lineRule="auto"/>
        <w:ind w:left="0" w:firstLine="567"/>
        <w:rPr>
          <w:rFonts w:cstheme="minorHAnsi"/>
          <w:color w:val="000000" w:themeColor="text1"/>
          <w:sz w:val="22"/>
          <w:szCs w:val="22"/>
        </w:rPr>
      </w:pPr>
      <w:r w:rsidRPr="00B44446">
        <w:rPr>
          <w:rFonts w:cstheme="minorHAnsi"/>
          <w:color w:val="000000" w:themeColor="text1"/>
          <w:sz w:val="22"/>
          <w:szCs w:val="22"/>
        </w:rPr>
        <w:t>užpildyta ir pasirašyta nacionalinio saugumo reikalavimų atitikties deklaracija (specialiųjų pirkimo sąlygų 8 priedas); </w:t>
      </w:r>
    </w:p>
    <w:p w14:paraId="39D4C3CB" w14:textId="444E74D8" w:rsidR="00592AF6" w:rsidRPr="00EA6A18" w:rsidRDefault="00B44446" w:rsidP="0051670A">
      <w:pPr>
        <w:pStyle w:val="Sraopastraipa"/>
        <w:numPr>
          <w:ilvl w:val="2"/>
          <w:numId w:val="5"/>
        </w:numPr>
        <w:ind w:left="0" w:firstLine="567"/>
        <w:rPr>
          <w:rFonts w:cstheme="minorHAnsi"/>
          <w:color w:val="000000" w:themeColor="text1"/>
          <w:sz w:val="22"/>
          <w:szCs w:val="22"/>
        </w:rPr>
      </w:pPr>
      <w:r w:rsidRPr="00B44446">
        <w:rPr>
          <w:rFonts w:cstheme="minorHAnsi"/>
          <w:color w:val="000000" w:themeColor="text1"/>
          <w:sz w:val="22"/>
          <w:szCs w:val="22"/>
        </w:rPr>
        <w:t>kiti perkančiosios organizacijos reikalaujami ir/ar tiekėjo teikiami dokumentai</w:t>
      </w:r>
      <w:r w:rsidR="00FB4AC1" w:rsidRPr="00EA6A18">
        <w:rPr>
          <w:rFonts w:cstheme="minorHAnsi"/>
          <w:color w:val="000000" w:themeColor="text1"/>
          <w:sz w:val="22"/>
          <w:szCs w:val="22"/>
        </w:rPr>
        <w:t>.</w:t>
      </w:r>
    </w:p>
    <w:p w14:paraId="59F3F889" w14:textId="10AB66E4" w:rsidR="00633007" w:rsidRDefault="000F3DF3" w:rsidP="0051670A">
      <w:pPr>
        <w:pStyle w:val="Sraopastraipa"/>
        <w:numPr>
          <w:ilvl w:val="1"/>
          <w:numId w:val="6"/>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105286">
        <w:rPr>
          <w:rFonts w:cstheme="minorHAnsi"/>
          <w:color w:val="000000" w:themeColor="text1"/>
          <w:sz w:val="22"/>
          <w:szCs w:val="22"/>
        </w:rPr>
        <w:t>parengta</w:t>
      </w:r>
      <w:r w:rsidR="00EE44B0" w:rsidRPr="00105286">
        <w:rPr>
          <w:rFonts w:cstheme="minorHAnsi"/>
          <w:color w:val="000000" w:themeColor="text1"/>
          <w:sz w:val="22"/>
          <w:szCs w:val="22"/>
        </w:rPr>
        <w:t xml:space="preserve"> </w:t>
      </w:r>
      <w:r w:rsidR="0048587E" w:rsidRPr="00105286">
        <w:rPr>
          <w:rFonts w:cstheme="minorHAnsi"/>
          <w:b/>
          <w:bCs/>
          <w:color w:val="000000" w:themeColor="text1"/>
          <w:sz w:val="22"/>
          <w:szCs w:val="22"/>
        </w:rPr>
        <w:t>lietuvių kalba</w:t>
      </w:r>
      <w:r w:rsidR="00D17972" w:rsidRPr="00105286">
        <w:rPr>
          <w:rFonts w:cstheme="minorHAnsi"/>
          <w:color w:val="000000" w:themeColor="text1"/>
          <w:sz w:val="22"/>
          <w:szCs w:val="22"/>
        </w:rPr>
        <w:t>.</w:t>
      </w:r>
      <w:r w:rsidR="0048587E" w:rsidRPr="00105286">
        <w:rPr>
          <w:rFonts w:cstheme="minorHAnsi"/>
          <w:color w:val="000000" w:themeColor="text1"/>
          <w:sz w:val="22"/>
          <w:szCs w:val="22"/>
        </w:rPr>
        <w:t xml:space="preserve"> </w:t>
      </w:r>
      <w:r w:rsidR="001140D2" w:rsidRPr="00105286">
        <w:rPr>
          <w:rFonts w:cstheme="minorHAnsi"/>
          <w:color w:val="000000" w:themeColor="text1"/>
          <w:sz w:val="22"/>
          <w:szCs w:val="22"/>
        </w:rPr>
        <w:t xml:space="preserve">Su pasiūlymu pateikiami dokumentai </w:t>
      </w:r>
      <w:r w:rsidR="00F74594" w:rsidRPr="00105286">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w:t>
      </w:r>
      <w:r w:rsidR="0048587E" w:rsidRPr="00682B25">
        <w:rPr>
          <w:rFonts w:cstheme="minorHAnsi"/>
          <w:sz w:val="22"/>
          <w:szCs w:val="22"/>
        </w:rPr>
        <w:lastRenderedPageBreak/>
        <w:t xml:space="preserve">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51670A">
      <w:pPr>
        <w:pStyle w:val="Antrat1"/>
        <w:numPr>
          <w:ilvl w:val="0"/>
          <w:numId w:val="6"/>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292639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9C73C1C" w:rsidR="00C576BD" w:rsidRPr="004C2158" w:rsidRDefault="003D3768" w:rsidP="005B5BC1">
      <w:pPr>
        <w:pStyle w:val="Sraopastraipa"/>
        <w:numPr>
          <w:ilvl w:val="1"/>
          <w:numId w:val="6"/>
        </w:numPr>
        <w:spacing w:after="0" w:line="240" w:lineRule="auto"/>
        <w:ind w:left="0" w:firstLine="567"/>
        <w:jc w:val="both"/>
        <w:rPr>
          <w:rFonts w:eastAsia="Calibri" w:cstheme="minorHAnsi"/>
          <w:i/>
          <w:iCs/>
          <w:color w:val="000000" w:themeColor="text1"/>
          <w:sz w:val="22"/>
          <w:szCs w:val="22"/>
        </w:rPr>
      </w:pPr>
      <w:r w:rsidRPr="004C2158">
        <w:rPr>
          <w:rFonts w:cstheme="minorHAnsi"/>
          <w:color w:val="000000" w:themeColor="text1"/>
          <w:sz w:val="22"/>
          <w:szCs w:val="22"/>
        </w:rPr>
        <w:t xml:space="preserve">Tiekėjas privalo užtikrinti savo pasiūlymo galiojimą </w:t>
      </w:r>
      <w:r w:rsidR="000D7D49" w:rsidRPr="004C2158">
        <w:rPr>
          <w:rFonts w:cstheme="minorHAnsi"/>
          <w:color w:val="000000" w:themeColor="text1"/>
          <w:sz w:val="22"/>
          <w:szCs w:val="22"/>
        </w:rPr>
        <w:t xml:space="preserve">netesybomis: </w:t>
      </w:r>
      <w:r w:rsidR="00601773" w:rsidRPr="004C2158">
        <w:rPr>
          <w:rFonts w:cstheme="minorHAnsi"/>
          <w:b/>
          <w:bCs/>
          <w:color w:val="000000" w:themeColor="text1"/>
          <w:sz w:val="22"/>
          <w:szCs w:val="22"/>
        </w:rPr>
        <w:t>29</w:t>
      </w:r>
      <w:r w:rsidR="004C2158">
        <w:rPr>
          <w:rFonts w:cstheme="minorHAnsi"/>
          <w:b/>
          <w:bCs/>
          <w:color w:val="000000" w:themeColor="text1"/>
          <w:sz w:val="22"/>
          <w:szCs w:val="22"/>
        </w:rPr>
        <w:t xml:space="preserve"> </w:t>
      </w:r>
      <w:r w:rsidR="00601773" w:rsidRPr="004C2158">
        <w:rPr>
          <w:rFonts w:cstheme="minorHAnsi"/>
          <w:b/>
          <w:bCs/>
          <w:color w:val="000000" w:themeColor="text1"/>
          <w:sz w:val="22"/>
          <w:szCs w:val="22"/>
        </w:rPr>
        <w:t>000,00</w:t>
      </w:r>
      <w:r w:rsidR="000D7D49" w:rsidRPr="004C2158">
        <w:rPr>
          <w:rFonts w:cstheme="minorHAnsi"/>
          <w:color w:val="000000" w:themeColor="text1"/>
          <w:sz w:val="22"/>
          <w:szCs w:val="22"/>
        </w:rPr>
        <w:t xml:space="preserve"> </w:t>
      </w:r>
      <w:r w:rsidR="00116C85" w:rsidRPr="004C2158">
        <w:rPr>
          <w:rFonts w:cstheme="minorHAnsi"/>
          <w:color w:val="000000" w:themeColor="text1"/>
          <w:sz w:val="22"/>
          <w:szCs w:val="22"/>
        </w:rPr>
        <w:t>(</w:t>
      </w:r>
      <w:r w:rsidR="004C2158" w:rsidRPr="004C2158">
        <w:rPr>
          <w:rFonts w:cstheme="minorHAnsi"/>
          <w:color w:val="000000" w:themeColor="text1"/>
          <w:sz w:val="22"/>
          <w:szCs w:val="22"/>
        </w:rPr>
        <w:t xml:space="preserve">dvidešimt devyni tūkstančiai) </w:t>
      </w:r>
      <w:r w:rsidR="004C2158" w:rsidRPr="004C2158">
        <w:rPr>
          <w:rFonts w:cstheme="minorHAnsi"/>
          <w:b/>
          <w:bCs/>
          <w:color w:val="000000" w:themeColor="text1"/>
          <w:sz w:val="22"/>
          <w:szCs w:val="22"/>
        </w:rPr>
        <w:t>E</w:t>
      </w:r>
      <w:r w:rsidR="000D7D49" w:rsidRPr="004C2158">
        <w:rPr>
          <w:rFonts w:cstheme="minorHAnsi"/>
          <w:b/>
          <w:bCs/>
          <w:color w:val="000000" w:themeColor="text1"/>
          <w:sz w:val="22"/>
          <w:szCs w:val="22"/>
        </w:rPr>
        <w:t>ur</w:t>
      </w:r>
      <w:r w:rsidR="000D7D49" w:rsidRPr="004C2158">
        <w:rPr>
          <w:rFonts w:cstheme="minorHAnsi"/>
          <w:color w:val="000000" w:themeColor="text1"/>
          <w:sz w:val="22"/>
          <w:szCs w:val="22"/>
        </w:rPr>
        <w:t xml:space="preserve"> </w:t>
      </w:r>
      <w:r w:rsidR="000D7D49" w:rsidRPr="004C2158">
        <w:rPr>
          <w:rFonts w:cstheme="minorHAnsi"/>
          <w:b/>
          <w:bCs/>
          <w:color w:val="000000" w:themeColor="text1"/>
          <w:sz w:val="22"/>
          <w:szCs w:val="22"/>
        </w:rPr>
        <w:t>bauda</w:t>
      </w:r>
      <w:r w:rsidR="00E74111" w:rsidRPr="004C2158">
        <w:rPr>
          <w:rFonts w:cstheme="minorHAnsi"/>
          <w:color w:val="000000" w:themeColor="text1"/>
          <w:sz w:val="22"/>
          <w:szCs w:val="22"/>
        </w:rPr>
        <w:t>, kurią priv</w:t>
      </w:r>
      <w:r w:rsidR="008741E1" w:rsidRPr="004C2158">
        <w:rPr>
          <w:rFonts w:cstheme="minorHAnsi"/>
          <w:color w:val="000000" w:themeColor="text1"/>
          <w:sz w:val="22"/>
          <w:szCs w:val="22"/>
        </w:rPr>
        <w:t>a</w:t>
      </w:r>
      <w:r w:rsidR="00E74111" w:rsidRPr="004C2158">
        <w:rPr>
          <w:rFonts w:cstheme="minorHAnsi"/>
          <w:color w:val="000000" w:themeColor="text1"/>
          <w:sz w:val="22"/>
          <w:szCs w:val="22"/>
        </w:rPr>
        <w:t>lės sumokėti per 10 darbo dienų</w:t>
      </w:r>
      <w:r w:rsidR="008741E1" w:rsidRPr="004C2158">
        <w:rPr>
          <w:rFonts w:cstheme="minorHAnsi"/>
          <w:color w:val="000000" w:themeColor="text1"/>
          <w:sz w:val="22"/>
          <w:szCs w:val="22"/>
        </w:rPr>
        <w:t xml:space="preserve"> nuo perkančiosios organizacijos pareikalavimo</w:t>
      </w:r>
      <w:r w:rsidR="006275D6" w:rsidRPr="004C2158">
        <w:rPr>
          <w:rFonts w:cstheme="minorHAnsi"/>
          <w:color w:val="000000" w:themeColor="text1"/>
          <w:sz w:val="22"/>
          <w:szCs w:val="22"/>
        </w:rPr>
        <w:t>.</w:t>
      </w:r>
      <w:r w:rsidR="000D7D49" w:rsidRPr="004C2158">
        <w:rPr>
          <w:rFonts w:cstheme="minorHAnsi"/>
          <w:color w:val="000000" w:themeColor="text1"/>
          <w:sz w:val="22"/>
          <w:szCs w:val="22"/>
        </w:rPr>
        <w:t xml:space="preserve"> </w:t>
      </w:r>
    </w:p>
    <w:p w14:paraId="2B1BFBE6" w14:textId="6EE5138D" w:rsidR="00000B56" w:rsidRPr="00E9683B" w:rsidRDefault="00000B56" w:rsidP="005B5BC1">
      <w:pPr>
        <w:pStyle w:val="Sraopastraipa"/>
        <w:numPr>
          <w:ilvl w:val="1"/>
          <w:numId w:val="6"/>
        </w:numPr>
        <w:spacing w:after="0" w:line="240" w:lineRule="auto"/>
        <w:ind w:left="0" w:firstLine="567"/>
        <w:jc w:val="both"/>
        <w:rPr>
          <w:b/>
          <w:bCs/>
          <w:color w:val="7030A0"/>
          <w:sz w:val="22"/>
          <w:szCs w:val="22"/>
        </w:rPr>
      </w:pPr>
      <w:r w:rsidRPr="541E0058">
        <w:rPr>
          <w:b/>
          <w:bCs/>
          <w:color w:val="000000" w:themeColor="text1"/>
          <w:sz w:val="22"/>
          <w:szCs w:val="22"/>
        </w:rPr>
        <w:t xml:space="preserve">Dalyvis netenka </w:t>
      </w:r>
      <w:r w:rsidR="007E7231" w:rsidRPr="541E0058">
        <w:rPr>
          <w:b/>
          <w:bCs/>
          <w:color w:val="000000" w:themeColor="text1"/>
          <w:sz w:val="22"/>
          <w:szCs w:val="22"/>
        </w:rPr>
        <w:t>p</w:t>
      </w:r>
      <w:r w:rsidRPr="541E0058">
        <w:rPr>
          <w:b/>
          <w:bCs/>
          <w:color w:val="000000" w:themeColor="text1"/>
          <w:sz w:val="22"/>
          <w:szCs w:val="22"/>
        </w:rPr>
        <w:t>asiūlymo galiojimo užtikrinimo esant bent vienai šių sąlygų</w:t>
      </w:r>
      <w:r w:rsidR="002D61AE" w:rsidRPr="541E0058">
        <w:rPr>
          <w:b/>
          <w:bCs/>
          <w:color w:val="7030A0"/>
          <w:sz w:val="22"/>
          <w:szCs w:val="22"/>
        </w:rPr>
        <w:t>:</w:t>
      </w:r>
      <w:r w:rsidR="005311C6" w:rsidRPr="541E0058">
        <w:rPr>
          <w:b/>
          <w:bCs/>
          <w:color w:val="7030A0"/>
          <w:sz w:val="22"/>
          <w:szCs w:val="22"/>
        </w:rPr>
        <w:t xml:space="preserve"> </w:t>
      </w:r>
    </w:p>
    <w:p w14:paraId="56F471E2" w14:textId="765485D6" w:rsidR="005B0449" w:rsidRPr="00682B25" w:rsidRDefault="00482647" w:rsidP="005B5BC1">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B5BC1">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5B5BC1">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5B5BC1">
      <w:pPr>
        <w:pStyle w:val="Sraopastraipa"/>
        <w:numPr>
          <w:ilvl w:val="1"/>
          <w:numId w:val="6"/>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5B5BC1">
      <w:pPr>
        <w:pStyle w:val="Sraopastraipa"/>
        <w:numPr>
          <w:ilvl w:val="1"/>
          <w:numId w:val="6"/>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5B5BC1">
      <w:pPr>
        <w:pStyle w:val="Antrat1"/>
        <w:numPr>
          <w:ilvl w:val="0"/>
          <w:numId w:val="6"/>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2926392"/>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B5BC1">
      <w:pPr>
        <w:pStyle w:val="Antrat1"/>
        <w:numPr>
          <w:ilvl w:val="0"/>
          <w:numId w:val="6"/>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2926393"/>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04E408C" w:rsidR="00BF5928" w:rsidRPr="00995DDC" w:rsidRDefault="004E71CB" w:rsidP="05083E46">
      <w:pPr>
        <w:pStyle w:val="Sraopastraipa"/>
        <w:numPr>
          <w:ilvl w:val="1"/>
          <w:numId w:val="6"/>
        </w:numPr>
        <w:spacing w:after="0" w:line="240" w:lineRule="auto"/>
        <w:ind w:left="0" w:firstLine="567"/>
        <w:jc w:val="both"/>
        <w:rPr>
          <w:sz w:val="22"/>
          <w:szCs w:val="22"/>
        </w:rPr>
      </w:pPr>
      <w:r w:rsidRPr="05083E46">
        <w:rPr>
          <w:rFonts w:eastAsia="Calibri"/>
          <w:sz w:val="22"/>
          <w:szCs w:val="22"/>
        </w:rPr>
        <w:t xml:space="preserve">Perkančioji organizacija ekonomiškai naudingiausią pasiūlymą išrenka pagal </w:t>
      </w:r>
      <w:r w:rsidR="00003A3F" w:rsidRPr="05083E46">
        <w:rPr>
          <w:rFonts w:eastAsia="Calibri"/>
          <w:sz w:val="22"/>
          <w:szCs w:val="22"/>
        </w:rPr>
        <w:t>kainos ir kokybės santykį. Duomenys, kuriuos savo pasiūlyme turi pateikti tiekėjas, vertinimo kriterijai ir tvarka, pagal kuri</w:t>
      </w:r>
      <w:r w:rsidR="00822F6E" w:rsidRPr="05083E46">
        <w:rPr>
          <w:rFonts w:eastAsia="Calibri"/>
          <w:sz w:val="22"/>
          <w:szCs w:val="22"/>
        </w:rPr>
        <w:t>ą</w:t>
      </w:r>
      <w:r w:rsidR="00003A3F" w:rsidRPr="05083E46">
        <w:rPr>
          <w:rFonts w:eastAsia="Calibri"/>
          <w:sz w:val="22"/>
          <w:szCs w:val="22"/>
        </w:rPr>
        <w:t xml:space="preserve"> vertinami tiekėjo pateikti duomenys, pateikiama</w:t>
      </w:r>
      <w:r w:rsidRPr="05083E46">
        <w:rPr>
          <w:rFonts w:eastAsia="Calibri"/>
          <w:sz w:val="22"/>
          <w:szCs w:val="22"/>
        </w:rPr>
        <w:t xml:space="preserve"> </w:t>
      </w:r>
      <w:r w:rsidR="00CE14DF" w:rsidRPr="05083E46">
        <w:rPr>
          <w:rFonts w:eastAsia="Calibri"/>
          <w:sz w:val="22"/>
          <w:szCs w:val="22"/>
        </w:rPr>
        <w:t>specialiųjų p</w:t>
      </w:r>
      <w:r w:rsidR="00551FA7" w:rsidRPr="05083E46">
        <w:rPr>
          <w:rFonts w:eastAsia="Calibri"/>
          <w:sz w:val="22"/>
          <w:szCs w:val="22"/>
        </w:rPr>
        <w:t xml:space="preserve">irkimo </w:t>
      </w:r>
      <w:r w:rsidR="00913029" w:rsidRPr="05083E46">
        <w:rPr>
          <w:rFonts w:eastAsia="Calibri"/>
          <w:sz w:val="22"/>
          <w:szCs w:val="22"/>
        </w:rPr>
        <w:t>sąlygų</w:t>
      </w:r>
      <w:r w:rsidR="00090235" w:rsidRPr="05083E46">
        <w:rPr>
          <w:rFonts w:eastAsia="Calibri"/>
          <w:sz w:val="22"/>
          <w:szCs w:val="22"/>
        </w:rPr>
        <w:t xml:space="preserve"> </w:t>
      </w:r>
      <w:r w:rsidR="00BD7BAD" w:rsidRPr="05083E46">
        <w:rPr>
          <w:color w:val="000000" w:themeColor="text1"/>
          <w:sz w:val="22"/>
          <w:szCs w:val="22"/>
          <w:shd w:val="clear" w:color="auto" w:fill="FFFFFF"/>
        </w:rPr>
        <w:t>3</w:t>
      </w:r>
      <w:r w:rsidR="003339CC" w:rsidRPr="05083E46">
        <w:rPr>
          <w:color w:val="000000" w:themeColor="text1"/>
          <w:sz w:val="22"/>
          <w:szCs w:val="22"/>
          <w:shd w:val="clear" w:color="auto" w:fill="FFFFFF"/>
        </w:rPr>
        <w:t xml:space="preserve"> priede „Pasiūlymo forma“</w:t>
      </w:r>
      <w:r w:rsidR="00356A71" w:rsidRPr="05083E46">
        <w:rPr>
          <w:color w:val="000000" w:themeColor="text1"/>
          <w:sz w:val="22"/>
          <w:szCs w:val="22"/>
          <w:shd w:val="clear" w:color="auto" w:fill="FFFFFF"/>
        </w:rPr>
        <w:t>,</w:t>
      </w:r>
      <w:r w:rsidR="003339CC" w:rsidRPr="05083E46">
        <w:rPr>
          <w:color w:val="000000" w:themeColor="text1"/>
          <w:sz w:val="22"/>
          <w:szCs w:val="22"/>
          <w:shd w:val="clear" w:color="auto" w:fill="FFFFFF"/>
        </w:rPr>
        <w:t xml:space="preserve">  </w:t>
      </w:r>
      <w:r w:rsidR="00F76B50" w:rsidRPr="05083E46">
        <w:rPr>
          <w:color w:val="000000" w:themeColor="text1"/>
          <w:sz w:val="22"/>
          <w:szCs w:val="22"/>
          <w:shd w:val="clear" w:color="auto" w:fill="FFFFFF"/>
        </w:rPr>
        <w:t>4</w:t>
      </w:r>
      <w:r w:rsidR="004C7E56" w:rsidRPr="05083E46">
        <w:rPr>
          <w:color w:val="000000" w:themeColor="text1"/>
          <w:sz w:val="22"/>
          <w:szCs w:val="22"/>
          <w:shd w:val="clear" w:color="auto" w:fill="FFFFFF"/>
        </w:rPr>
        <w:t xml:space="preserve"> priede </w:t>
      </w:r>
      <w:r w:rsidR="004C7E56" w:rsidRPr="05083E46">
        <w:rPr>
          <w:rFonts w:eastAsia="Calibri"/>
          <w:color w:val="000000" w:themeColor="text1"/>
          <w:sz w:val="22"/>
          <w:szCs w:val="22"/>
        </w:rPr>
        <w:t>„Pasiūlymų vertinimo kriterijai ir sąlygos</w:t>
      </w:r>
      <w:r w:rsidR="002D1075" w:rsidRPr="05083E46">
        <w:rPr>
          <w:rFonts w:eastAsia="Calibri"/>
          <w:color w:val="000000" w:themeColor="text1"/>
          <w:sz w:val="22"/>
          <w:szCs w:val="22"/>
        </w:rPr>
        <w:t>“</w:t>
      </w:r>
      <w:r w:rsidR="00156092" w:rsidRPr="05083E46">
        <w:rPr>
          <w:color w:val="000000" w:themeColor="text1"/>
          <w:sz w:val="22"/>
          <w:szCs w:val="22"/>
          <w:shd w:val="clear" w:color="auto" w:fill="FFFFFF"/>
        </w:rPr>
        <w:t xml:space="preserve"> ir </w:t>
      </w:r>
      <w:r w:rsidR="00196AA8" w:rsidRPr="05083E46">
        <w:rPr>
          <w:color w:val="000000" w:themeColor="text1"/>
          <w:sz w:val="22"/>
          <w:szCs w:val="22"/>
          <w:shd w:val="clear" w:color="auto" w:fill="FFFFFF"/>
        </w:rPr>
        <w:t>2 priede „Techninė specifikacija“. </w:t>
      </w:r>
      <w:r w:rsidR="00CE14DF" w:rsidRPr="05083E46">
        <w:rPr>
          <w:rFonts w:eastAsia="Calibri"/>
          <w:color w:val="000000" w:themeColor="text1"/>
          <w:sz w:val="22"/>
          <w:szCs w:val="22"/>
        </w:rPr>
        <w:t xml:space="preserve"> </w:t>
      </w:r>
    </w:p>
    <w:p w14:paraId="102136D3" w14:textId="0D12286B" w:rsidR="00D734C6" w:rsidRPr="00995DDC" w:rsidRDefault="00D734C6" w:rsidP="005B5BC1">
      <w:pPr>
        <w:pStyle w:val="Sraopastraipa"/>
        <w:numPr>
          <w:ilvl w:val="1"/>
          <w:numId w:val="6"/>
        </w:numPr>
        <w:spacing w:after="0" w:line="240" w:lineRule="auto"/>
        <w:ind w:left="0" w:firstLine="567"/>
        <w:jc w:val="both"/>
        <w:rPr>
          <w:rFonts w:eastAsia="Calibri" w:cstheme="minorHAnsi"/>
          <w:sz w:val="22"/>
          <w:szCs w:val="22"/>
        </w:rPr>
      </w:pPr>
      <w:r w:rsidRPr="00995DDC">
        <w:rPr>
          <w:rFonts w:cstheme="minorHAnsi"/>
          <w:color w:val="000000" w:themeColor="text1"/>
          <w:sz w:val="22"/>
          <w:szCs w:val="22"/>
        </w:rPr>
        <w:t xml:space="preserve">Laimėjusiu </w:t>
      </w:r>
      <w:r w:rsidR="005D7D8C" w:rsidRPr="00995DDC">
        <w:rPr>
          <w:rFonts w:cstheme="minorHAnsi"/>
          <w:color w:val="000000" w:themeColor="text1"/>
          <w:sz w:val="22"/>
          <w:szCs w:val="22"/>
        </w:rPr>
        <w:t>pasiūlymu</w:t>
      </w:r>
      <w:r w:rsidRPr="00995DDC">
        <w:rPr>
          <w:rFonts w:cstheme="minorHAnsi"/>
          <w:color w:val="000000" w:themeColor="text1"/>
          <w:sz w:val="22"/>
          <w:szCs w:val="22"/>
        </w:rPr>
        <w:t xml:space="preserve"> galės būti pripažintas tik 1 (vienas) </w:t>
      </w:r>
      <w:r w:rsidR="005D7D8C" w:rsidRPr="00995DDC">
        <w:rPr>
          <w:rFonts w:cstheme="minorHAnsi"/>
          <w:color w:val="000000" w:themeColor="text1"/>
          <w:sz w:val="22"/>
          <w:szCs w:val="22"/>
        </w:rPr>
        <w:t>ekonomiškai naudingiausias pasiūlymas, esantis pasiūlymų eilės pirmojoje vietoje</w:t>
      </w:r>
      <w:r w:rsidRPr="00995DDC">
        <w:rPr>
          <w:rFonts w:cstheme="minorHAnsi"/>
          <w:color w:val="000000" w:themeColor="text1"/>
          <w:sz w:val="22"/>
          <w:szCs w:val="22"/>
        </w:rPr>
        <w:t xml:space="preserve">. </w:t>
      </w:r>
    </w:p>
    <w:p w14:paraId="2BC5D08C" w14:textId="6B2E95C5" w:rsidR="000857D7" w:rsidRDefault="73CA9B2B" w:rsidP="05083E46">
      <w:pPr>
        <w:pStyle w:val="Betarp"/>
        <w:spacing w:line="20" w:lineRule="atLeast"/>
        <w:ind w:firstLine="567"/>
        <w:contextualSpacing/>
        <w:jc w:val="both"/>
        <w:rPr>
          <w:sz w:val="22"/>
          <w:szCs w:val="22"/>
        </w:rPr>
      </w:pPr>
      <w:r w:rsidRPr="05083E46">
        <w:rPr>
          <w:sz w:val="22"/>
          <w:szCs w:val="22"/>
        </w:rPr>
        <w:t xml:space="preserve">9.3. </w:t>
      </w:r>
      <w:r w:rsidR="47B5E9D7" w:rsidRPr="05083E46">
        <w:rPr>
          <w:rStyle w:val="cf01"/>
          <w:rFonts w:asciiTheme="minorHAnsi" w:hAnsiTheme="minorHAnsi" w:cstheme="minorBidi"/>
          <w:sz w:val="22"/>
          <w:szCs w:val="22"/>
        </w:rPr>
        <w:t>Perkančioji organizacija atmes tiekėjo pasiūlymą, jei</w:t>
      </w:r>
      <w:r w:rsidR="4FBB668E" w:rsidRPr="05083E46">
        <w:rPr>
          <w:rStyle w:val="cf01"/>
          <w:rFonts w:asciiTheme="minorHAnsi" w:hAnsiTheme="minorHAnsi" w:cstheme="minorBidi"/>
          <w:sz w:val="22"/>
          <w:szCs w:val="22"/>
        </w:rPr>
        <w:t xml:space="preserve">gu kartu su pasiūlymu </w:t>
      </w:r>
      <w:r w:rsidR="5129A827" w:rsidRPr="05083E46">
        <w:rPr>
          <w:rStyle w:val="cf01"/>
          <w:rFonts w:asciiTheme="minorHAnsi" w:hAnsiTheme="minorHAnsi" w:cstheme="minorBidi"/>
          <w:sz w:val="22"/>
          <w:szCs w:val="22"/>
        </w:rPr>
        <w:t xml:space="preserve">nebus pateikti šie </w:t>
      </w:r>
      <w:r w:rsidR="246EF8E0" w:rsidRPr="05083E46">
        <w:rPr>
          <w:rStyle w:val="cf01"/>
          <w:rFonts w:asciiTheme="minorHAnsi" w:hAnsiTheme="minorHAnsi" w:cstheme="minorBidi"/>
          <w:sz w:val="22"/>
          <w:szCs w:val="22"/>
        </w:rPr>
        <w:t>p</w:t>
      </w:r>
      <w:r w:rsidR="5129A827" w:rsidRPr="05083E46">
        <w:rPr>
          <w:rStyle w:val="cf01"/>
          <w:rFonts w:asciiTheme="minorHAnsi" w:hAnsiTheme="minorHAnsi" w:cstheme="minorBidi"/>
          <w:sz w:val="22"/>
          <w:szCs w:val="22"/>
        </w:rPr>
        <w:t>irkimo sąlygose reikalaujami pateikti dokumentai:</w:t>
      </w:r>
      <w:r w:rsidR="465C8929" w:rsidRPr="05083E46">
        <w:rPr>
          <w:rStyle w:val="cf01"/>
          <w:rFonts w:asciiTheme="minorHAnsi" w:hAnsiTheme="minorHAnsi" w:cstheme="minorBidi"/>
          <w:sz w:val="22"/>
          <w:szCs w:val="22"/>
        </w:rPr>
        <w:t xml:space="preserve"> </w:t>
      </w:r>
      <w:r w:rsidR="465C8929" w:rsidRPr="05083E46">
        <w:rPr>
          <w:rStyle w:val="cf01"/>
          <w:rFonts w:asciiTheme="minorHAnsi" w:hAnsiTheme="minorHAnsi" w:cstheme="minorBidi"/>
          <w:color w:val="000000" w:themeColor="text1"/>
          <w:sz w:val="22"/>
          <w:szCs w:val="22"/>
        </w:rPr>
        <w:t>Techninė specifikacija, užpildyta pagal specialiųjų pirkimo sąlygų 2 priedą</w:t>
      </w:r>
      <w:r w:rsidR="561C5DFF" w:rsidRPr="05083E46">
        <w:rPr>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B5BC1">
      <w:pPr>
        <w:pStyle w:val="Antrat1"/>
        <w:numPr>
          <w:ilvl w:val="0"/>
          <w:numId w:val="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2926394"/>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Default="00F57665" w:rsidP="005B5BC1">
      <w:pPr>
        <w:pStyle w:val="Sraopastraipa"/>
        <w:numPr>
          <w:ilvl w:val="1"/>
          <w:numId w:val="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1D748B">
        <w:rPr>
          <w:rFonts w:cstheme="minorHAnsi"/>
          <w:color w:val="000000" w:themeColor="text1"/>
          <w:sz w:val="22"/>
          <w:szCs w:val="22"/>
        </w:rPr>
        <w:t>5</w:t>
      </w:r>
      <w:r w:rsidR="00F04AAE" w:rsidRPr="001D748B">
        <w:rPr>
          <w:rFonts w:cstheme="minorHAnsi"/>
          <w:color w:val="000000" w:themeColor="text1"/>
          <w:sz w:val="22"/>
          <w:szCs w:val="22"/>
        </w:rPr>
        <w:t xml:space="preserve"> </w:t>
      </w:r>
      <w:r w:rsidR="00D86901" w:rsidRPr="001D748B">
        <w:rPr>
          <w:rFonts w:cstheme="minorHAnsi"/>
          <w:color w:val="000000" w:themeColor="text1"/>
          <w:sz w:val="22"/>
          <w:szCs w:val="22"/>
        </w:rPr>
        <w:t>priede „Sutarties projektas“</w:t>
      </w:r>
      <w:r w:rsidR="004B2DE4" w:rsidRPr="001D748B">
        <w:rPr>
          <w:rFonts w:cstheme="minorHAnsi"/>
          <w:color w:val="000000" w:themeColor="text1"/>
          <w:sz w:val="22"/>
          <w:szCs w:val="22"/>
        </w:rPr>
        <w:t>.</w:t>
      </w:r>
    </w:p>
    <w:p w14:paraId="62CB5B95" w14:textId="23F1A96D" w:rsidR="00F67688" w:rsidRPr="009852E2" w:rsidRDefault="00F67688" w:rsidP="005B5BC1">
      <w:pPr>
        <w:pStyle w:val="Sraopastraipa"/>
        <w:numPr>
          <w:ilvl w:val="1"/>
          <w:numId w:val="6"/>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5B5BC1">
      <w:pPr>
        <w:pStyle w:val="Antrat1"/>
        <w:numPr>
          <w:ilvl w:val="0"/>
          <w:numId w:val="6"/>
        </w:numPr>
        <w:tabs>
          <w:tab w:val="left" w:pos="567"/>
        </w:tabs>
        <w:spacing w:line="20" w:lineRule="atLeast"/>
        <w:contextualSpacing/>
        <w:jc w:val="both"/>
        <w:rPr>
          <w:rFonts w:asciiTheme="minorHAnsi" w:hAnsiTheme="minorHAnsi" w:cstheme="minorHAnsi"/>
        </w:rPr>
      </w:pPr>
      <w:bookmarkStart w:id="56" w:name="_Toc195271834"/>
      <w:bookmarkStart w:id="57" w:name="_Toc222926395"/>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5B5BC1">
      <w:pPr>
        <w:pStyle w:val="Sraopastraipa"/>
        <w:numPr>
          <w:ilvl w:val="1"/>
          <w:numId w:val="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B5BC1">
      <w:pPr>
        <w:pStyle w:val="Antrat1"/>
        <w:numPr>
          <w:ilvl w:val="0"/>
          <w:numId w:val="6"/>
        </w:numPr>
        <w:tabs>
          <w:tab w:val="left" w:pos="567"/>
        </w:tabs>
        <w:spacing w:line="20" w:lineRule="atLeast"/>
        <w:contextualSpacing/>
        <w:jc w:val="both"/>
        <w:rPr>
          <w:rFonts w:asciiTheme="minorHAnsi" w:hAnsiTheme="minorHAnsi" w:cstheme="minorHAnsi"/>
        </w:rPr>
      </w:pPr>
      <w:bookmarkStart w:id="59" w:name="_Toc222926396"/>
      <w:r w:rsidRPr="007233E8">
        <w:rPr>
          <w:rFonts w:asciiTheme="minorHAnsi" w:hAnsiTheme="minorHAnsi" w:cstheme="minorHAnsi"/>
        </w:rPr>
        <w:t>Asmens duomenų tvarkymas</w:t>
      </w:r>
      <w:bookmarkEnd w:id="59"/>
    </w:p>
    <w:p w14:paraId="0BA320BF" w14:textId="4DCDC914" w:rsidR="00F904AA" w:rsidRDefault="00F904AA" w:rsidP="005B5BC1">
      <w:pPr>
        <w:pStyle w:val="Sraopastraipa"/>
        <w:numPr>
          <w:ilvl w:val="1"/>
          <w:numId w:val="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B5BC1">
      <w:pPr>
        <w:pStyle w:val="Sraopastraipa"/>
        <w:numPr>
          <w:ilvl w:val="1"/>
          <w:numId w:val="6"/>
        </w:numPr>
        <w:spacing w:line="240" w:lineRule="auto"/>
        <w:ind w:left="0" w:firstLine="567"/>
        <w:jc w:val="both"/>
      </w:pPr>
      <w:r>
        <w:t>Nurodytais pagrindais bus tvarkomi tiesiogiai tiekėjų pateikti asmens duomenys.</w:t>
      </w:r>
    </w:p>
    <w:p w14:paraId="0E138E52" w14:textId="2C853B75" w:rsidR="00F904AA" w:rsidRDefault="00F904AA" w:rsidP="005B5BC1">
      <w:pPr>
        <w:pStyle w:val="Sraopastraipa"/>
        <w:numPr>
          <w:ilvl w:val="1"/>
          <w:numId w:val="6"/>
        </w:numPr>
        <w:spacing w:line="240" w:lineRule="auto"/>
        <w:ind w:left="0" w:firstLine="567"/>
        <w:jc w:val="both"/>
      </w:pPr>
      <w:r>
        <w:t>Tiekėjų pateikti duomenys bus saugomi teisės aktuose nustatytais terminais.</w:t>
      </w:r>
    </w:p>
    <w:p w14:paraId="1F479F8E" w14:textId="2F8D98D1" w:rsidR="00F904AA" w:rsidRDefault="00F904AA" w:rsidP="005B5BC1">
      <w:pPr>
        <w:pStyle w:val="Sraopastraipa"/>
        <w:numPr>
          <w:ilvl w:val="1"/>
          <w:numId w:val="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B5BC1">
      <w:pPr>
        <w:pStyle w:val="Sraopastraipa"/>
        <w:numPr>
          <w:ilvl w:val="1"/>
          <w:numId w:val="6"/>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B09F1" w:rsidRDefault="000631F1" w:rsidP="00EB09F1">
      <w:pPr>
        <w:ind w:firstLine="6237"/>
        <w:rPr>
          <w:color w:val="0070C0"/>
        </w:rPr>
      </w:pPr>
      <w:bookmarkStart w:id="60" w:name="_Toc190416443"/>
      <w:r w:rsidRPr="00EB09F1">
        <w:rPr>
          <w:color w:val="0070C0"/>
        </w:rPr>
        <w:lastRenderedPageBreak/>
        <w:t>P</w:t>
      </w:r>
      <w:r w:rsidR="008F59C5" w:rsidRPr="00EB09F1">
        <w:rPr>
          <w:color w:val="0070C0"/>
        </w:rPr>
        <w:t xml:space="preserve">irkimo sąlygų </w:t>
      </w:r>
      <w:r w:rsidR="004B63DB" w:rsidRPr="00EB09F1">
        <w:rPr>
          <w:color w:val="0070C0"/>
        </w:rPr>
        <w:t>1</w:t>
      </w:r>
      <w:r w:rsidR="008F59C5" w:rsidRPr="00EB09F1">
        <w:rPr>
          <w:color w:val="0070C0"/>
        </w:rPr>
        <w:t xml:space="preserve"> priedas „Terminai“</w:t>
      </w:r>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478C0">
              <w:rPr>
                <w:rFonts w:cstheme="minorHAnsi"/>
                <w:color w:val="000000" w:themeColor="text1"/>
                <w:sz w:val="22"/>
                <w:szCs w:val="22"/>
              </w:rPr>
              <w:t xml:space="preserve">po </w:t>
            </w:r>
            <w:r w:rsidR="006B0247" w:rsidRPr="006478C0">
              <w:rPr>
                <w:rFonts w:cstheme="minorHAnsi"/>
                <w:color w:val="000000" w:themeColor="text1"/>
                <w:sz w:val="22"/>
                <w:szCs w:val="22"/>
              </w:rPr>
              <w:t>30</w:t>
            </w:r>
            <w:r w:rsidRPr="006478C0">
              <w:rPr>
                <w:rFonts w:cstheme="minorHAnsi"/>
                <w:color w:val="000000" w:themeColor="text1"/>
                <w:sz w:val="22"/>
                <w:szCs w:val="22"/>
              </w:rPr>
              <w:t xml:space="preserve"> </w:t>
            </w:r>
            <w:r w:rsidR="00724BAD" w:rsidRPr="006478C0">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899569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AE9CA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42F496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6478C0">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A14F911" w:rsidR="00774AA5" w:rsidRPr="00682B25" w:rsidRDefault="58536623" w:rsidP="1CF31C72">
            <w:pPr>
              <w:spacing w:after="0" w:line="240" w:lineRule="auto"/>
              <w:rPr>
                <w:sz w:val="22"/>
                <w:szCs w:val="22"/>
              </w:rPr>
            </w:pPr>
            <w:r w:rsidRPr="00D17BEC">
              <w:rPr>
                <w:color w:val="000000" w:themeColor="text1"/>
                <w:sz w:val="22"/>
                <w:szCs w:val="22"/>
              </w:rPr>
              <w:t>3 (trys) mėnesiai</w:t>
            </w:r>
            <w:r w:rsidR="00774AA5" w:rsidRPr="00D17BEC">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61BB9A1" w:rsidR="00774AA5" w:rsidRPr="00682B25" w:rsidRDefault="00774AA5" w:rsidP="001B203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07776FF" w:rsidR="00ED5B78" w:rsidRPr="001B2038" w:rsidRDefault="000B4E01" w:rsidP="00451AF7">
            <w:pPr>
              <w:spacing w:after="0" w:line="240" w:lineRule="auto"/>
              <w:jc w:val="both"/>
              <w:rPr>
                <w:rFonts w:cstheme="minorHAnsi"/>
                <w:color w:val="000000" w:themeColor="text1"/>
                <w:sz w:val="22"/>
                <w:szCs w:val="22"/>
              </w:rPr>
            </w:pPr>
            <w:r w:rsidRPr="001B203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1" w:name="_Pirkimo_sąlygų_2"/>
      <w:bookmarkStart w:id="62" w:name="_Ref38540913"/>
      <w:bookmarkStart w:id="63" w:name="_Ref38898051"/>
      <w:bookmarkStart w:id="64" w:name="_Ref38901392"/>
      <w:bookmarkStart w:id="65" w:name="_Toc190416448"/>
      <w:bookmarkEnd w:id="61"/>
    </w:p>
    <w:p w14:paraId="70CE8D28" w14:textId="585E31BC" w:rsidR="00D33821" w:rsidRPr="00682B25" w:rsidRDefault="00D33821" w:rsidP="00AB3E93">
      <w:pPr>
        <w:jc w:val="right"/>
        <w:rPr>
          <w:rFonts w:eastAsia="Calibri" w:cstheme="minorHAnsi"/>
          <w:color w:val="0070C0"/>
          <w:sz w:val="22"/>
          <w:szCs w:val="22"/>
        </w:rPr>
      </w:pPr>
      <w:bookmarkStart w:id="66" w:name="_Ref39484039"/>
      <w:bookmarkStart w:id="67" w:name="_Ref40278562"/>
      <w:bookmarkStart w:id="68" w:name="_Toc190416450"/>
      <w:bookmarkStart w:id="69" w:name="_Ref38285444"/>
      <w:bookmarkStart w:id="70" w:name="_Ref38291496"/>
      <w:bookmarkStart w:id="71" w:name="_Toc190416445"/>
      <w:bookmarkEnd w:id="62"/>
      <w:bookmarkEnd w:id="63"/>
      <w:bookmarkEnd w:id="64"/>
      <w:bookmarkEnd w:id="65"/>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6"/>
      <w:bookmarkEnd w:id="67"/>
      <w:bookmarkEnd w:id="6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395579C" w:rsidR="00D33821" w:rsidRPr="00F40A93" w:rsidRDefault="00D33821" w:rsidP="005B5BC1">
      <w:pPr>
        <w:pStyle w:val="Pagrindinistekstas"/>
        <w:numPr>
          <w:ilvl w:val="0"/>
          <w:numId w:val="12"/>
        </w:numPr>
        <w:spacing w:after="0" w:line="240" w:lineRule="auto"/>
        <w:ind w:left="0" w:firstLine="567"/>
        <w:rPr>
          <w:rFonts w:cstheme="minorHAnsi"/>
          <w:b/>
          <w:bCs/>
          <w:szCs w:val="21"/>
        </w:rPr>
      </w:pPr>
      <w:r w:rsidRPr="00F40A93">
        <w:rPr>
          <w:rFonts w:cstheme="minorHAnsi"/>
          <w:b/>
          <w:bCs/>
          <w:szCs w:val="21"/>
        </w:rPr>
        <w:t>Pasiūlymų vertinimo kriterijai:</w:t>
      </w:r>
      <w:r w:rsidR="003038D5">
        <w:rPr>
          <w:rFonts w:cstheme="minorHAnsi"/>
          <w:b/>
          <w:bCs/>
          <w:szCs w:val="21"/>
        </w:rPr>
        <w:t xml:space="preserve"> </w:t>
      </w:r>
      <w:r w:rsidR="00DE2755" w:rsidRPr="00DE2755">
        <w:rPr>
          <w:rFonts w:cstheme="minorHAnsi"/>
          <w:szCs w:val="21"/>
        </w:rPr>
        <w:t>ekonomiškai naudingiausias pasiūlymas pirkime bus išrenkamas pagal kainos ir kokybės santykį, kuris bus apskaičiuojamas pagal toliau nurodomus kriterijus bei tvarką. </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p w14:paraId="2F6A56CE" w14:textId="41AE7B5D" w:rsidR="00007420" w:rsidRPr="00F40A93" w:rsidRDefault="00007420" w:rsidP="00D33821">
      <w:pPr>
        <w:suppressAutoHyphens/>
        <w:spacing w:after="0" w:line="240" w:lineRule="auto"/>
        <w:ind w:firstLine="567"/>
        <w:jc w:val="both"/>
        <w:rPr>
          <w:rFonts w:eastAsia="Times New Roman" w:cstheme="minorHAnsi"/>
          <w:lang w:eastAsia="en-US"/>
        </w:rPr>
      </w:pPr>
      <w:r w:rsidRPr="00007420">
        <w:rPr>
          <w:rFonts w:eastAsia="Times New Roman" w:cstheme="minorHAnsi"/>
          <w:b/>
          <w:bCs/>
          <w:lang w:eastAsia="en-U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3284"/>
        <w:gridCol w:w="3285"/>
        <w:gridCol w:w="3285"/>
      </w:tblGrid>
      <w:tr w:rsidR="00D33821" w:rsidRPr="00F40A93" w14:paraId="39F02EFC" w14:textId="77777777" w:rsidTr="05083E46">
        <w:tc>
          <w:tcPr>
            <w:tcW w:w="3284" w:type="dxa"/>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33821" w:rsidRPr="00F40A93" w14:paraId="789C84BC" w14:textId="77777777" w:rsidTr="05083E46">
        <w:tc>
          <w:tcPr>
            <w:tcW w:w="3284" w:type="dxa"/>
          </w:tcPr>
          <w:p w14:paraId="4E475376" w14:textId="5D633EAD" w:rsidR="00D33821" w:rsidRPr="00F40A93" w:rsidRDefault="00D12ED6">
            <w:pPr>
              <w:suppressAutoHyphens/>
              <w:jc w:val="both"/>
              <w:rPr>
                <w:rFonts w:asciiTheme="minorHAnsi" w:cstheme="minorHAnsi"/>
                <w:sz w:val="21"/>
                <w:szCs w:val="21"/>
              </w:rPr>
            </w:pPr>
            <w:r w:rsidRPr="00D12ED6">
              <w:rPr>
                <w:rFonts w:asciiTheme="minorHAnsi" w:cstheme="minorHAnsi"/>
                <w:b/>
                <w:bCs/>
                <w:sz w:val="21"/>
                <w:szCs w:val="21"/>
              </w:rPr>
              <w:t>Bendra pasiūlymo kaina (K)</w:t>
            </w:r>
            <w:r w:rsidRPr="00D12ED6">
              <w:rPr>
                <w:rFonts w:asciiTheme="minorHAnsi" w:cstheme="minorHAnsi"/>
                <w:sz w:val="21"/>
                <w:szCs w:val="21"/>
              </w:rPr>
              <w:t> </w:t>
            </w:r>
          </w:p>
        </w:tc>
        <w:tc>
          <w:tcPr>
            <w:tcW w:w="3285" w:type="dxa"/>
          </w:tcPr>
          <w:p w14:paraId="2159AE82" w14:textId="77777777" w:rsidR="00D33821" w:rsidRPr="00F40A93" w:rsidRDefault="00D33821">
            <w:pPr>
              <w:suppressAutoHyphens/>
              <w:jc w:val="both"/>
              <w:rPr>
                <w:rFonts w:asciiTheme="minorHAnsi" w:cstheme="minorHAnsi"/>
                <w:sz w:val="21"/>
                <w:szCs w:val="21"/>
              </w:rPr>
            </w:pPr>
          </w:p>
        </w:tc>
        <w:tc>
          <w:tcPr>
            <w:tcW w:w="3285" w:type="dxa"/>
          </w:tcPr>
          <w:p w14:paraId="08888680" w14:textId="5F5A7910"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X=</w:t>
            </w:r>
            <w:r w:rsidR="00F2586B">
              <w:rPr>
                <w:rFonts w:asciiTheme="minorHAnsi" w:cstheme="minorHAnsi"/>
                <w:sz w:val="21"/>
                <w:szCs w:val="21"/>
              </w:rPr>
              <w:t>60</w:t>
            </w:r>
          </w:p>
        </w:tc>
      </w:tr>
      <w:tr w:rsidR="00D33821" w:rsidRPr="00F40A93" w14:paraId="20153E74" w14:textId="77777777" w:rsidTr="05083E46">
        <w:tc>
          <w:tcPr>
            <w:tcW w:w="3284" w:type="dxa"/>
          </w:tcPr>
          <w:p w14:paraId="279D0EE5" w14:textId="7F65E7D6" w:rsidR="00D33821" w:rsidRPr="00F94653" w:rsidRDefault="00F2586B" w:rsidP="00F2586B">
            <w:pPr>
              <w:suppressAutoHyphens/>
              <w:rPr>
                <w:rFonts w:asciiTheme="minorHAnsi" w:cstheme="minorHAnsi"/>
                <w:b/>
                <w:bCs/>
                <w:i/>
                <w:sz w:val="21"/>
                <w:szCs w:val="21"/>
              </w:rPr>
            </w:pPr>
            <w:r w:rsidRPr="00F94653">
              <w:rPr>
                <w:rFonts w:asciiTheme="minorHAnsi" w:cstheme="minorHAnsi"/>
                <w:b/>
                <w:bCs/>
                <w:i/>
                <w:sz w:val="21"/>
                <w:szCs w:val="21"/>
              </w:rPr>
              <w:t>Analizatorių techninės charakteristikos ir metodiniai reikalavimai (T)</w:t>
            </w:r>
          </w:p>
        </w:tc>
        <w:tc>
          <w:tcPr>
            <w:tcW w:w="3285" w:type="dxa"/>
          </w:tcPr>
          <w:p w14:paraId="4F511E90" w14:textId="77777777" w:rsidR="00D33821" w:rsidRPr="00F40A93" w:rsidRDefault="00D33821">
            <w:pPr>
              <w:suppressAutoHyphens/>
              <w:jc w:val="both"/>
              <w:rPr>
                <w:rFonts w:asciiTheme="minorHAnsi" w:cstheme="minorHAnsi"/>
                <w:sz w:val="21"/>
                <w:szCs w:val="21"/>
              </w:rPr>
            </w:pPr>
          </w:p>
        </w:tc>
        <w:tc>
          <w:tcPr>
            <w:tcW w:w="3285" w:type="dxa"/>
          </w:tcPr>
          <w:p w14:paraId="760E5D11" w14:textId="626D5C65" w:rsidR="00D33821" w:rsidRPr="00F40A93" w:rsidRDefault="10660490" w:rsidP="05083E46">
            <w:pPr>
              <w:suppressAutoHyphens/>
              <w:jc w:val="both"/>
              <w:rPr>
                <w:rFonts w:asciiTheme="minorHAnsi"/>
                <w:sz w:val="21"/>
                <w:szCs w:val="21"/>
              </w:rPr>
            </w:pPr>
            <w:r w:rsidRPr="05083E46">
              <w:rPr>
                <w:rFonts w:asciiTheme="minorHAnsi"/>
                <w:sz w:val="21"/>
                <w:szCs w:val="21"/>
              </w:rPr>
              <w:t>Y=</w:t>
            </w:r>
            <w:r w:rsidR="0989104F" w:rsidRPr="05083E46">
              <w:rPr>
                <w:rFonts w:asciiTheme="minorHAnsi"/>
                <w:sz w:val="21"/>
                <w:szCs w:val="21"/>
              </w:rPr>
              <w:t>4</w:t>
            </w:r>
            <w:r w:rsidR="7BC861ED" w:rsidRPr="05083E46">
              <w:rPr>
                <w:rFonts w:asciiTheme="minorHAnsi"/>
                <w:sz w:val="21"/>
                <w:szCs w:val="21"/>
              </w:rPr>
              <w:t>0</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361C3256" w:rsidR="00D33821" w:rsidRPr="00F40A93" w:rsidRDefault="00D33821" w:rsidP="005B5BC1">
      <w:pPr>
        <w:pStyle w:val="Pagrindinistekstas"/>
        <w:numPr>
          <w:ilvl w:val="0"/>
          <w:numId w:val="12"/>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B313B9">
        <w:rPr>
          <w:rFonts w:cstheme="minorHAnsi"/>
          <w:b/>
          <w:bCs/>
          <w:szCs w:val="21"/>
        </w:rPr>
        <w:t>K</w:t>
      </w:r>
      <w:r w:rsidRPr="00F40A93">
        <w:rPr>
          <w:rFonts w:cstheme="minorHAnsi"/>
          <w:b/>
          <w:bCs/>
          <w:szCs w:val="21"/>
        </w:rPr>
        <w:t xml:space="preserve">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288CB2D9" w:rsidR="00D33821" w:rsidRPr="00F40A93" w:rsidRDefault="00D33821" w:rsidP="00743F5F">
      <w:pPr>
        <w:suppressAutoHyphens/>
        <w:spacing w:after="0" w:line="240" w:lineRule="auto"/>
        <w:ind w:firstLine="567"/>
        <w:jc w:val="center"/>
        <w:rPr>
          <w:rFonts w:eastAsia="Times New Roman" w:cstheme="minorHAnsi"/>
          <w:lang w:eastAsia="en-US"/>
        </w:rPr>
      </w:pPr>
      <w:r w:rsidRPr="00F40A93">
        <w:rPr>
          <w:rFonts w:eastAsia="Times New Roman" w:cstheme="minorHAnsi"/>
          <w:i/>
          <w:iCs/>
          <w:lang w:eastAsia="en-US"/>
        </w:rPr>
        <w:t xml:space="preserve">S = </w:t>
      </w:r>
      <w:r w:rsidR="00B313B9">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2990CDE" w14:textId="77777777" w:rsidR="00E47834" w:rsidRPr="00BC60FF" w:rsidRDefault="00E47834" w:rsidP="005B5BC1">
      <w:pPr>
        <w:pStyle w:val="Body"/>
        <w:numPr>
          <w:ilvl w:val="0"/>
          <w:numId w:val="14"/>
        </w:numPr>
        <w:ind w:left="0" w:firstLine="567"/>
        <w:jc w:val="both"/>
        <w:rPr>
          <w:rFonts w:asciiTheme="minorHAnsi" w:hAnsiTheme="minorHAnsi" w:cstheme="minorHAnsi"/>
          <w:sz w:val="21"/>
          <w:szCs w:val="21"/>
        </w:rPr>
      </w:pPr>
      <w:r w:rsidRPr="00BC60FF">
        <w:rPr>
          <w:rFonts w:asciiTheme="minorHAnsi" w:hAnsiTheme="minorHAnsi" w:cstheme="minorHAnsi"/>
          <w:b/>
          <w:bCs/>
          <w:sz w:val="21"/>
          <w:szCs w:val="21"/>
        </w:rPr>
        <w:t>Pasiūlymo kainos kriterijus (K)</w:t>
      </w:r>
      <w:r w:rsidRPr="00BC60FF">
        <w:rPr>
          <w:rFonts w:asciiTheme="minorHAnsi" w:hAnsiTheme="minorHAnsi" w:cstheme="minorHAnsi"/>
          <w:sz w:val="21"/>
          <w:szCs w:val="21"/>
        </w:rPr>
        <w:t xml:space="preserve"> bus vertinamas pagal tiekėjų bendrąją pasiūlymo kainą eurais (su PVM), nurodytą Techninės specifikacijos lape Nr. 2 „Tyrimų įkainiai, prekių sąrašas“.</w:t>
      </w:r>
    </w:p>
    <w:p w14:paraId="548F892C" w14:textId="77777777" w:rsidR="00E47834" w:rsidRPr="00BC60FF" w:rsidRDefault="00E47834" w:rsidP="00E47834">
      <w:pPr>
        <w:pStyle w:val="Body"/>
        <w:jc w:val="both"/>
        <w:rPr>
          <w:rFonts w:asciiTheme="minorHAnsi" w:hAnsiTheme="minorHAnsi" w:cstheme="minorHAnsi"/>
          <w:sz w:val="21"/>
          <w:szCs w:val="21"/>
        </w:rPr>
      </w:pPr>
    </w:p>
    <w:p w14:paraId="218E45BC" w14:textId="77777777" w:rsidR="00E47834" w:rsidRPr="00BC60FF" w:rsidRDefault="00E47834" w:rsidP="005B5BC1">
      <w:pPr>
        <w:pStyle w:val="Body"/>
        <w:numPr>
          <w:ilvl w:val="1"/>
          <w:numId w:val="14"/>
        </w:numPr>
        <w:ind w:left="0" w:firstLine="567"/>
        <w:jc w:val="both"/>
        <w:rPr>
          <w:rFonts w:asciiTheme="minorHAnsi" w:hAnsiTheme="minorHAnsi" w:cstheme="minorHAnsi"/>
          <w:sz w:val="21"/>
          <w:szCs w:val="21"/>
        </w:rPr>
      </w:pPr>
      <w:r w:rsidRPr="00BC60FF">
        <w:rPr>
          <w:rFonts w:asciiTheme="minorHAnsi" w:hAnsiTheme="minorHAnsi" w:cstheme="minorHAnsi"/>
          <w:sz w:val="21"/>
          <w:szCs w:val="21"/>
        </w:rPr>
        <w:t>Tiekėjo pasiūlymo kainos (K) lyginamasis svoris yra apskaičiuojamas mažiausios pasiūlytos bendrosios tyrimų pasiūlymo kainos eurais (su PVM) (</w:t>
      </w:r>
      <w:proofErr w:type="spellStart"/>
      <w:r w:rsidRPr="00BC60FF">
        <w:rPr>
          <w:rFonts w:asciiTheme="minorHAnsi" w:hAnsiTheme="minorHAnsi" w:cstheme="minorHAnsi"/>
          <w:sz w:val="21"/>
          <w:szCs w:val="21"/>
        </w:rPr>
        <w:t>K</w:t>
      </w:r>
      <w:r w:rsidRPr="00BC60FF">
        <w:rPr>
          <w:rFonts w:asciiTheme="minorHAnsi" w:hAnsiTheme="minorHAnsi" w:cstheme="minorHAnsi"/>
          <w:sz w:val="21"/>
          <w:szCs w:val="21"/>
          <w:vertAlign w:val="subscript"/>
        </w:rPr>
        <w:t>min</w:t>
      </w:r>
      <w:proofErr w:type="spellEnd"/>
      <w:r w:rsidRPr="00BC60FF">
        <w:rPr>
          <w:rFonts w:asciiTheme="minorHAnsi" w:hAnsiTheme="minorHAnsi" w:cstheme="minorHAnsi"/>
          <w:sz w:val="21"/>
          <w:szCs w:val="21"/>
        </w:rPr>
        <w:t>) ir vertinamo pasiūlymo bendrosios tyrimų pasiūlymo kainos eurais (su PVM) (K</w:t>
      </w:r>
      <w:r w:rsidRPr="00BC60FF">
        <w:rPr>
          <w:rFonts w:asciiTheme="minorHAnsi" w:hAnsiTheme="minorHAnsi" w:cstheme="minorHAnsi"/>
          <w:sz w:val="21"/>
          <w:szCs w:val="21"/>
          <w:vertAlign w:val="subscript"/>
        </w:rPr>
        <w:t>P</w:t>
      </w:r>
      <w:r w:rsidRPr="00BC60FF">
        <w:rPr>
          <w:rFonts w:asciiTheme="minorHAnsi" w:hAnsiTheme="minorHAnsi" w:cstheme="minorHAnsi"/>
          <w:sz w:val="21"/>
          <w:szCs w:val="21"/>
        </w:rPr>
        <w:t>) santykį padauginant iš kainos lyginamojo svorio (X):</w:t>
      </w:r>
    </w:p>
    <w:p w14:paraId="6A161496" w14:textId="77777777" w:rsidR="00E47834" w:rsidRPr="00743F5F" w:rsidRDefault="00E47834" w:rsidP="00E47834">
      <w:pPr>
        <w:pStyle w:val="Body"/>
        <w:jc w:val="both"/>
        <w:rPr>
          <w:rFonts w:ascii="Calibri" w:hAnsi="Calibri" w:cs="Calibri"/>
          <w:sz w:val="21"/>
          <w:szCs w:val="21"/>
        </w:rPr>
      </w:pPr>
      <m:oMathPara>
        <m:oMath>
          <m:r>
            <w:rPr>
              <w:rFonts w:ascii="Cambria Math" w:hAnsi="Cambria Math" w:cs="Calibri"/>
              <w:sz w:val="21"/>
              <w:szCs w:val="21"/>
            </w:rPr>
            <m:t>K=</m:t>
          </m:r>
          <m:f>
            <m:fPr>
              <m:ctrlPr>
                <w:rPr>
                  <w:rFonts w:ascii="Cambria Math" w:hAnsi="Cambria Math" w:cs="Calibri"/>
                  <w:i/>
                  <w:sz w:val="21"/>
                  <w:szCs w:val="21"/>
                </w:rPr>
              </m:ctrlPr>
            </m:fPr>
            <m:num>
              <m:sSub>
                <m:sSubPr>
                  <m:ctrlPr>
                    <w:rPr>
                      <w:rFonts w:ascii="Cambria Math" w:hAnsi="Cambria Math" w:cs="Calibri"/>
                      <w:sz w:val="21"/>
                      <w:szCs w:val="21"/>
                    </w:rPr>
                  </m:ctrlPr>
                </m:sSubPr>
                <m:e>
                  <m:r>
                    <w:rPr>
                      <w:rFonts w:ascii="Cambria Math" w:hAnsi="Cambria Math" w:cs="Calibri"/>
                      <w:sz w:val="21"/>
                      <w:szCs w:val="21"/>
                    </w:rPr>
                    <m:t>K</m:t>
                  </m:r>
                </m:e>
                <m:sub>
                  <m:r>
                    <w:rPr>
                      <w:rFonts w:ascii="Cambria Math" w:hAnsi="Cambria Math" w:cs="Calibri"/>
                      <w:sz w:val="21"/>
                      <w:szCs w:val="21"/>
                    </w:rPr>
                    <m:t>min</m:t>
                  </m:r>
                </m:sub>
              </m:sSub>
            </m:num>
            <m:den>
              <m:sSub>
                <m:sSubPr>
                  <m:ctrlPr>
                    <w:rPr>
                      <w:rFonts w:ascii="Cambria Math" w:hAnsi="Cambria Math" w:cs="Calibri"/>
                      <w:sz w:val="21"/>
                      <w:szCs w:val="21"/>
                    </w:rPr>
                  </m:ctrlPr>
                </m:sSubPr>
                <m:e>
                  <m:r>
                    <w:rPr>
                      <w:rFonts w:ascii="Cambria Math" w:hAnsi="Cambria Math" w:cs="Calibri"/>
                      <w:sz w:val="21"/>
                      <w:szCs w:val="21"/>
                    </w:rPr>
                    <m:t>K</m:t>
                  </m:r>
                </m:e>
                <m:sub>
                  <m:r>
                    <w:rPr>
                      <w:rFonts w:ascii="Cambria Math" w:hAnsi="Cambria Math" w:cs="Calibri"/>
                      <w:sz w:val="21"/>
                      <w:szCs w:val="21"/>
                    </w:rPr>
                    <m:t>P</m:t>
                  </m:r>
                </m:sub>
              </m:sSub>
            </m:den>
          </m:f>
          <m:r>
            <w:rPr>
              <w:rFonts w:ascii="Cambria Math" w:hAnsi="Cambria Math" w:cs="Calibri"/>
              <w:sz w:val="21"/>
              <w:szCs w:val="21"/>
            </w:rPr>
            <m:t>×X</m:t>
          </m:r>
        </m:oMath>
      </m:oMathPara>
    </w:p>
    <w:p w14:paraId="6C20AFC8" w14:textId="77777777" w:rsidR="00E47834" w:rsidRPr="00E47834" w:rsidRDefault="00E47834" w:rsidP="00E47834">
      <w:pPr>
        <w:pStyle w:val="Body"/>
        <w:jc w:val="both"/>
        <w:rPr>
          <w:rFonts w:asciiTheme="minorHAnsi" w:hAnsiTheme="minorHAnsi" w:cstheme="minorHAnsi"/>
          <w:sz w:val="24"/>
          <w:szCs w:val="24"/>
        </w:rPr>
      </w:pPr>
    </w:p>
    <w:p w14:paraId="22321295" w14:textId="5BAB53F1" w:rsidR="005E0DC2" w:rsidRPr="00B87B45" w:rsidRDefault="005E0DC2" w:rsidP="005B5BC1">
      <w:pPr>
        <w:pStyle w:val="Body"/>
        <w:numPr>
          <w:ilvl w:val="0"/>
          <w:numId w:val="13"/>
        </w:numPr>
        <w:ind w:left="0" w:firstLine="567"/>
        <w:jc w:val="both"/>
        <w:rPr>
          <w:rFonts w:asciiTheme="minorHAnsi" w:hAnsiTheme="minorHAnsi" w:cstheme="minorHAnsi"/>
          <w:sz w:val="21"/>
          <w:szCs w:val="21"/>
        </w:rPr>
      </w:pPr>
      <w:r w:rsidRPr="00B87B45">
        <w:rPr>
          <w:rFonts w:asciiTheme="minorHAnsi" w:hAnsiTheme="minorHAnsi" w:cstheme="minorHAnsi"/>
          <w:b/>
          <w:bCs/>
          <w:sz w:val="21"/>
          <w:szCs w:val="21"/>
        </w:rPr>
        <w:t>Analizatorių techninių charakteristikų ir metodinių reikalavimų kriterijus (T)</w:t>
      </w:r>
      <w:r w:rsidRPr="00B87B45">
        <w:rPr>
          <w:rFonts w:asciiTheme="minorHAnsi" w:hAnsiTheme="minorHAnsi" w:cstheme="minorHAnsi"/>
          <w:sz w:val="21"/>
          <w:szCs w:val="21"/>
        </w:rPr>
        <w:t xml:space="preserve"> bus vertinamas pagal tiekėjų su pasiūlymais pateiktą techninę dokumentaciją. T kriterijų sudaro 14 parametrų (A</w:t>
      </w:r>
      <w:r w:rsidRPr="00B87B45">
        <w:rPr>
          <w:rFonts w:asciiTheme="minorHAnsi" w:hAnsiTheme="minorHAnsi" w:cstheme="minorHAnsi"/>
          <w:sz w:val="21"/>
          <w:szCs w:val="21"/>
          <w:vertAlign w:val="subscript"/>
        </w:rPr>
        <w:t>1</w:t>
      </w:r>
      <w:r w:rsidRPr="00B87B45">
        <w:rPr>
          <w:rFonts w:asciiTheme="minorHAnsi" w:hAnsiTheme="minorHAnsi" w:cstheme="minorHAnsi"/>
          <w:sz w:val="21"/>
          <w:szCs w:val="21"/>
        </w:rPr>
        <w:t xml:space="preserve"> – A</w:t>
      </w:r>
      <w:r w:rsidRPr="00B87B45">
        <w:rPr>
          <w:rFonts w:asciiTheme="minorHAnsi" w:hAnsiTheme="minorHAnsi" w:cstheme="minorHAnsi"/>
          <w:sz w:val="21"/>
          <w:szCs w:val="21"/>
          <w:vertAlign w:val="subscript"/>
        </w:rPr>
        <w:t>14</w:t>
      </w:r>
      <w:r w:rsidRPr="00B87B45">
        <w:rPr>
          <w:rFonts w:asciiTheme="minorHAnsi" w:hAnsiTheme="minorHAnsi" w:cstheme="minorHAnsi"/>
          <w:sz w:val="21"/>
          <w:szCs w:val="21"/>
        </w:rPr>
        <w:t xml:space="preserve"> parametrai ir jiems suteikiamų balų skaičius lentelėje 2 žemiau ir Techninės specifikacijos </w:t>
      </w:r>
      <w:r w:rsidRPr="00B87B45">
        <w:rPr>
          <w:rFonts w:asciiTheme="minorHAnsi" w:hAnsiTheme="minorHAnsi" w:cstheme="minorHAnsi"/>
          <w:i/>
          <w:iCs/>
          <w:sz w:val="21"/>
          <w:szCs w:val="21"/>
        </w:rPr>
        <w:t>Excel</w:t>
      </w:r>
      <w:r w:rsidRPr="00B87B45">
        <w:rPr>
          <w:rFonts w:asciiTheme="minorHAnsi" w:hAnsiTheme="minorHAnsi" w:cstheme="minorHAnsi"/>
          <w:sz w:val="21"/>
          <w:szCs w:val="21"/>
        </w:rPr>
        <w:t xml:space="preserve"> lentelėje Nr. 5 „Ekonominis naudingumas (T)“).</w:t>
      </w:r>
    </w:p>
    <w:p w14:paraId="75FF97E5" w14:textId="77777777" w:rsidR="005E0DC2" w:rsidRPr="00B87B45" w:rsidRDefault="005E0DC2" w:rsidP="005E0DC2">
      <w:pPr>
        <w:pStyle w:val="Body"/>
        <w:jc w:val="both"/>
        <w:rPr>
          <w:rFonts w:asciiTheme="minorHAnsi" w:hAnsiTheme="minorHAnsi" w:cstheme="minorHAnsi"/>
          <w:sz w:val="24"/>
          <w:szCs w:val="24"/>
        </w:rPr>
      </w:pPr>
    </w:p>
    <w:p w14:paraId="69732E1D" w14:textId="77777777" w:rsidR="005E0DC2" w:rsidRPr="00B87B45" w:rsidRDefault="005E0DC2" w:rsidP="005E0DC2">
      <w:pPr>
        <w:pStyle w:val="Body"/>
        <w:jc w:val="both"/>
        <w:rPr>
          <w:rFonts w:asciiTheme="minorHAnsi" w:hAnsiTheme="minorHAnsi" w:cstheme="minorHAnsi"/>
          <w:b/>
          <w:bCs/>
        </w:rPr>
      </w:pPr>
      <w:r w:rsidRPr="00B87B45">
        <w:rPr>
          <w:rFonts w:asciiTheme="minorHAnsi" w:hAnsiTheme="minorHAnsi" w:cstheme="minorHAnsi"/>
          <w:b/>
          <w:bCs/>
        </w:rPr>
        <w:t>Lentelė 2. T kriterijaus papildomų/neprivalomų (ekonomiškai naudingų) parametrų sąrašas (A</w:t>
      </w:r>
      <w:r w:rsidRPr="00B87B45">
        <w:rPr>
          <w:rFonts w:asciiTheme="minorHAnsi" w:hAnsiTheme="minorHAnsi" w:cstheme="minorHAnsi"/>
          <w:b/>
          <w:bCs/>
          <w:vertAlign w:val="subscript"/>
        </w:rPr>
        <w:t>1</w:t>
      </w:r>
      <w:r w:rsidRPr="00B87B45">
        <w:rPr>
          <w:rFonts w:asciiTheme="minorHAnsi" w:hAnsiTheme="minorHAnsi" w:cstheme="minorHAnsi"/>
          <w:b/>
          <w:bCs/>
        </w:rPr>
        <w:t xml:space="preserve"> – A</w:t>
      </w:r>
      <w:r w:rsidRPr="00B87B45">
        <w:rPr>
          <w:rFonts w:asciiTheme="minorHAnsi" w:hAnsiTheme="minorHAnsi" w:cstheme="minorHAnsi"/>
          <w:b/>
          <w:bCs/>
          <w:vertAlign w:val="subscript"/>
        </w:rPr>
        <w:t>14</w:t>
      </w:r>
      <w:r w:rsidRPr="00B87B45">
        <w:rPr>
          <w:rFonts w:asciiTheme="minorHAnsi" w:hAnsiTheme="minorHAnsi" w:cstheme="minorHAnsi"/>
          <w:b/>
          <w:bCs/>
        </w:rPr>
        <w:t>).</w:t>
      </w:r>
    </w:p>
    <w:tbl>
      <w:tblPr>
        <w:tblStyle w:val="Lentelstinklelis"/>
        <w:tblW w:w="9631" w:type="dxa"/>
        <w:tblInd w:w="0" w:type="dxa"/>
        <w:tblLook w:val="04A0" w:firstRow="1" w:lastRow="0" w:firstColumn="1" w:lastColumn="0" w:noHBand="0" w:noVBand="1"/>
      </w:tblPr>
      <w:tblGrid>
        <w:gridCol w:w="7083"/>
        <w:gridCol w:w="1559"/>
        <w:gridCol w:w="989"/>
      </w:tblGrid>
      <w:tr w:rsidR="005E0DC2" w:rsidRPr="00B87B45" w14:paraId="6464410C" w14:textId="77777777" w:rsidTr="05083E46">
        <w:trPr>
          <w:cantSplit/>
          <w:tblHeader/>
        </w:trPr>
        <w:tc>
          <w:tcPr>
            <w:tcW w:w="7083" w:type="dxa"/>
          </w:tcPr>
          <w:p w14:paraId="02BD0D8B"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B87B45">
              <w:rPr>
                <w:rFonts w:asciiTheme="minorHAnsi" w:hAnsiTheme="minorHAnsi" w:cstheme="minorHAnsi"/>
                <w:b/>
                <w:bCs/>
              </w:rPr>
              <w:t>Ekonomiškai naudingas reikalavimas įrangai ir metodams</w:t>
            </w:r>
          </w:p>
        </w:tc>
        <w:tc>
          <w:tcPr>
            <w:tcW w:w="1559" w:type="dxa"/>
          </w:tcPr>
          <w:p w14:paraId="29BD3C67"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b/>
                <w:bCs/>
              </w:rPr>
              <w:t>Skiriamų balų skaičius</w:t>
            </w:r>
          </w:p>
        </w:tc>
        <w:tc>
          <w:tcPr>
            <w:tcW w:w="989" w:type="dxa"/>
          </w:tcPr>
          <w:p w14:paraId="5BC30A05"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b/>
                <w:bCs/>
              </w:rPr>
              <w:t>T  šifras</w:t>
            </w:r>
          </w:p>
        </w:tc>
      </w:tr>
      <w:tr w:rsidR="005E0DC2" w:rsidRPr="00B87B45" w14:paraId="50690D5E" w14:textId="77777777" w:rsidTr="05083E46">
        <w:trPr>
          <w:cantSplit/>
        </w:trPr>
        <w:tc>
          <w:tcPr>
            <w:tcW w:w="7083" w:type="dxa"/>
          </w:tcPr>
          <w:p w14:paraId="75206464" w14:textId="77777777" w:rsidR="005E0DC2" w:rsidRPr="00B87B45" w:rsidRDefault="005E0DC2" w:rsidP="006C46D0">
            <w:pPr>
              <w:rPr>
                <w:rFonts w:asciiTheme="minorHAnsi" w:cstheme="minorHAnsi"/>
              </w:rPr>
            </w:pPr>
            <w:r w:rsidRPr="00B87B45">
              <w:rPr>
                <w:rFonts w:asciiTheme="minorHAnsi" w:cstheme="minorHAnsi"/>
              </w:rPr>
              <w:t>A kategorijos komplektą sudarantys visi analizatoriai yra tarpusavyje sujungti mechaniškai mėginių/tepinėlių transportavimo jungtimis (kai nereikia mėgintuvėlio rankiniu būdu perkelti iš automatinio hematologinio analizatoriaus į automatinį kraujo tepinėlių ruošimo/dažymo prietaisą, o tepinėlių nereikia rankiniu būdu perkelti iš jų ruošimo/dažymo prietaiso į automatinį tepinėlių analizės prietaisą).</w:t>
            </w:r>
          </w:p>
        </w:tc>
        <w:tc>
          <w:tcPr>
            <w:tcW w:w="1559" w:type="dxa"/>
            <w:vAlign w:val="center"/>
          </w:tcPr>
          <w:p w14:paraId="76B833E8" w14:textId="77777777" w:rsidR="005E0DC2" w:rsidRPr="00B87B45" w:rsidRDefault="005E0DC2" w:rsidP="006C46D0">
            <w:pPr>
              <w:jc w:val="center"/>
              <w:rPr>
                <w:rFonts w:asciiTheme="minorHAnsi" w:cstheme="minorHAnsi"/>
              </w:rPr>
            </w:pPr>
            <w:r w:rsidRPr="00B87B45">
              <w:rPr>
                <w:rFonts w:asciiTheme="minorHAnsi" w:cstheme="minorHAnsi"/>
                <w:b/>
                <w:bCs/>
              </w:rPr>
              <w:t>8</w:t>
            </w:r>
          </w:p>
        </w:tc>
        <w:tc>
          <w:tcPr>
            <w:tcW w:w="989" w:type="dxa"/>
            <w:vAlign w:val="center"/>
          </w:tcPr>
          <w:p w14:paraId="13AC348F"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rPr>
              <w:t>A</w:t>
            </w:r>
            <w:r w:rsidRPr="00B87B45">
              <w:rPr>
                <w:rFonts w:asciiTheme="minorHAnsi" w:hAnsiTheme="minorHAnsi" w:cstheme="minorHAnsi"/>
                <w:vertAlign w:val="subscript"/>
              </w:rPr>
              <w:t>1</w:t>
            </w:r>
          </w:p>
        </w:tc>
      </w:tr>
      <w:tr w:rsidR="005E0DC2" w:rsidRPr="00B87B45" w14:paraId="61F9C4CC" w14:textId="77777777" w:rsidTr="05083E46">
        <w:trPr>
          <w:cantSplit/>
        </w:trPr>
        <w:tc>
          <w:tcPr>
            <w:tcW w:w="7083" w:type="dxa"/>
          </w:tcPr>
          <w:p w14:paraId="6932AA8F" w14:textId="77777777" w:rsidR="005E0DC2" w:rsidRPr="00B87B45" w:rsidRDefault="005E0DC2" w:rsidP="006C46D0">
            <w:pPr>
              <w:rPr>
                <w:rFonts w:asciiTheme="minorHAnsi" w:cstheme="minorHAnsi"/>
              </w:rPr>
            </w:pPr>
            <w:r w:rsidRPr="00B87B45">
              <w:rPr>
                <w:rFonts w:asciiTheme="minorHAnsi" w:cstheme="minorHAnsi"/>
              </w:rPr>
              <w:t xml:space="preserve">Automatinių hematologinių analizatorių </w:t>
            </w:r>
            <w:proofErr w:type="spellStart"/>
            <w:r w:rsidRPr="00B87B45">
              <w:rPr>
                <w:rFonts w:asciiTheme="minorHAnsi" w:cstheme="minorHAnsi"/>
              </w:rPr>
              <w:t>Hgb</w:t>
            </w:r>
            <w:proofErr w:type="spellEnd"/>
            <w:r w:rsidRPr="00B87B45">
              <w:rPr>
                <w:rFonts w:asciiTheme="minorHAnsi" w:cstheme="minorHAnsi"/>
              </w:rPr>
              <w:t xml:space="preserve"> (Hemoglobino koncentracija) nustatymo metodas yra </w:t>
            </w:r>
            <w:proofErr w:type="spellStart"/>
            <w:r w:rsidRPr="00B87B45">
              <w:rPr>
                <w:rFonts w:asciiTheme="minorHAnsi" w:cstheme="minorHAnsi"/>
              </w:rPr>
              <w:t>becianidinis</w:t>
            </w:r>
            <w:proofErr w:type="spellEnd"/>
            <w:r w:rsidRPr="00B87B45">
              <w:rPr>
                <w:rFonts w:asciiTheme="minorHAnsi" w:cstheme="minorHAnsi"/>
              </w:rPr>
              <w:t>.</w:t>
            </w:r>
          </w:p>
        </w:tc>
        <w:tc>
          <w:tcPr>
            <w:tcW w:w="1559" w:type="dxa"/>
            <w:vAlign w:val="center"/>
          </w:tcPr>
          <w:p w14:paraId="57C620DD" w14:textId="77777777" w:rsidR="005E0DC2" w:rsidRPr="00B87B45" w:rsidRDefault="005E0DC2" w:rsidP="006C46D0">
            <w:pPr>
              <w:jc w:val="center"/>
              <w:rPr>
                <w:rFonts w:asciiTheme="minorHAnsi" w:cstheme="minorHAnsi"/>
              </w:rPr>
            </w:pPr>
            <w:r w:rsidRPr="00B87B45">
              <w:rPr>
                <w:rFonts w:asciiTheme="minorHAnsi" w:cstheme="minorHAnsi"/>
                <w:b/>
                <w:bCs/>
              </w:rPr>
              <w:t>3</w:t>
            </w:r>
          </w:p>
        </w:tc>
        <w:tc>
          <w:tcPr>
            <w:tcW w:w="989" w:type="dxa"/>
            <w:vAlign w:val="center"/>
          </w:tcPr>
          <w:p w14:paraId="66E7B438"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rPr>
              <w:t>A</w:t>
            </w:r>
            <w:r w:rsidRPr="00B87B45">
              <w:rPr>
                <w:rFonts w:asciiTheme="minorHAnsi" w:hAnsiTheme="minorHAnsi" w:cstheme="minorHAnsi"/>
                <w:vertAlign w:val="subscript"/>
              </w:rPr>
              <w:t>2</w:t>
            </w:r>
          </w:p>
        </w:tc>
      </w:tr>
      <w:tr w:rsidR="005E0DC2" w:rsidRPr="00B87B45" w14:paraId="49074CB2" w14:textId="77777777" w:rsidTr="05083E46">
        <w:trPr>
          <w:cantSplit/>
        </w:trPr>
        <w:tc>
          <w:tcPr>
            <w:tcW w:w="7083" w:type="dxa"/>
          </w:tcPr>
          <w:p w14:paraId="45FFBAFF" w14:textId="77777777" w:rsidR="005E0DC2" w:rsidRPr="00B87B45" w:rsidRDefault="005E0DC2" w:rsidP="006C46D0">
            <w:pPr>
              <w:rPr>
                <w:rFonts w:asciiTheme="minorHAnsi" w:cstheme="minorHAnsi"/>
              </w:rPr>
            </w:pPr>
            <w:proofErr w:type="spellStart"/>
            <w:r w:rsidRPr="00B87B45">
              <w:rPr>
                <w:rFonts w:asciiTheme="minorHAnsi" w:cstheme="minorHAnsi"/>
              </w:rPr>
              <w:t>Hematokrito</w:t>
            </w:r>
            <w:proofErr w:type="spellEnd"/>
            <w:r w:rsidRPr="00B87B45">
              <w:rPr>
                <w:rFonts w:asciiTheme="minorHAnsi" w:cstheme="minorHAnsi"/>
              </w:rPr>
              <w:t xml:space="preserve"> metodas yra tiesioginis, t. y. </w:t>
            </w:r>
            <w:proofErr w:type="spellStart"/>
            <w:r w:rsidRPr="00B87B45">
              <w:rPr>
                <w:rFonts w:asciiTheme="minorHAnsi" w:cstheme="minorHAnsi"/>
              </w:rPr>
              <w:t>hematokritas</w:t>
            </w:r>
            <w:proofErr w:type="spellEnd"/>
            <w:r w:rsidRPr="00B87B45">
              <w:rPr>
                <w:rFonts w:asciiTheme="minorHAnsi" w:cstheme="minorHAnsi"/>
              </w:rPr>
              <w:t xml:space="preserve"> nėra išvestinis (t. y. apskaičiuojamas) parametras.</w:t>
            </w:r>
          </w:p>
        </w:tc>
        <w:tc>
          <w:tcPr>
            <w:tcW w:w="1559" w:type="dxa"/>
            <w:vAlign w:val="center"/>
          </w:tcPr>
          <w:p w14:paraId="7EB5B042" w14:textId="77777777" w:rsidR="005E0DC2" w:rsidRPr="00B87B45" w:rsidRDefault="005E0DC2" w:rsidP="006C46D0">
            <w:pPr>
              <w:jc w:val="center"/>
              <w:rPr>
                <w:rFonts w:asciiTheme="minorHAnsi" w:cstheme="minorHAnsi"/>
              </w:rPr>
            </w:pPr>
            <w:r w:rsidRPr="00B87B45">
              <w:rPr>
                <w:rFonts w:asciiTheme="minorHAnsi" w:cstheme="minorHAnsi"/>
                <w:b/>
                <w:bCs/>
              </w:rPr>
              <w:t>3</w:t>
            </w:r>
          </w:p>
        </w:tc>
        <w:tc>
          <w:tcPr>
            <w:tcW w:w="989" w:type="dxa"/>
            <w:vAlign w:val="center"/>
          </w:tcPr>
          <w:p w14:paraId="1B37DC33" w14:textId="77777777" w:rsidR="005E0DC2" w:rsidRPr="00B87B45"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B87B45">
              <w:rPr>
                <w:rFonts w:asciiTheme="minorHAnsi" w:hAnsiTheme="minorHAnsi" w:cstheme="minorHAnsi"/>
              </w:rPr>
              <w:t>A</w:t>
            </w:r>
            <w:r w:rsidRPr="00B87B45">
              <w:rPr>
                <w:rFonts w:asciiTheme="minorHAnsi" w:hAnsiTheme="minorHAnsi" w:cstheme="minorHAnsi"/>
                <w:vertAlign w:val="subscript"/>
              </w:rPr>
              <w:t>3</w:t>
            </w:r>
          </w:p>
        </w:tc>
      </w:tr>
      <w:tr w:rsidR="005E0DC2" w:rsidRPr="00986960" w14:paraId="4520D151" w14:textId="77777777" w:rsidTr="05083E46">
        <w:trPr>
          <w:cantSplit/>
        </w:trPr>
        <w:tc>
          <w:tcPr>
            <w:tcW w:w="7083" w:type="dxa"/>
          </w:tcPr>
          <w:p w14:paraId="38161D09"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lastRenderedPageBreak/>
              <w:t>Leukocitų (WBC), jų klasių (</w:t>
            </w:r>
            <w:proofErr w:type="spellStart"/>
            <w:r w:rsidRPr="00986960">
              <w:rPr>
                <w:rFonts w:asciiTheme="minorHAnsi" w:cstheme="minorHAnsi"/>
                <w:sz w:val="21"/>
                <w:szCs w:val="21"/>
              </w:rPr>
              <w:t>neutrofilų</w:t>
            </w:r>
            <w:proofErr w:type="spellEnd"/>
            <w:r w:rsidRPr="00986960">
              <w:rPr>
                <w:rFonts w:asciiTheme="minorHAnsi" w:cstheme="minorHAnsi"/>
                <w:sz w:val="21"/>
                <w:szCs w:val="21"/>
              </w:rPr>
              <w:t xml:space="preserve"> (NEUT#), limfocitų (LYMPH#), </w:t>
            </w:r>
            <w:proofErr w:type="spellStart"/>
            <w:r w:rsidRPr="00986960">
              <w:rPr>
                <w:rFonts w:asciiTheme="minorHAnsi" w:cstheme="minorHAnsi"/>
                <w:sz w:val="21"/>
                <w:szCs w:val="21"/>
              </w:rPr>
              <w:t>monocitų</w:t>
            </w:r>
            <w:proofErr w:type="spellEnd"/>
            <w:r w:rsidRPr="00986960">
              <w:rPr>
                <w:rFonts w:asciiTheme="minorHAnsi" w:cstheme="minorHAnsi"/>
                <w:sz w:val="21"/>
                <w:szCs w:val="21"/>
              </w:rPr>
              <w:t xml:space="preserve"> (MONO#), </w:t>
            </w:r>
            <w:proofErr w:type="spellStart"/>
            <w:r w:rsidRPr="00986960">
              <w:rPr>
                <w:rFonts w:asciiTheme="minorHAnsi" w:cstheme="minorHAnsi"/>
                <w:sz w:val="21"/>
                <w:szCs w:val="21"/>
              </w:rPr>
              <w:t>eozinofilų</w:t>
            </w:r>
            <w:proofErr w:type="spellEnd"/>
            <w:r w:rsidRPr="00986960">
              <w:rPr>
                <w:rFonts w:asciiTheme="minorHAnsi" w:cstheme="minorHAnsi"/>
                <w:sz w:val="21"/>
                <w:szCs w:val="21"/>
              </w:rPr>
              <w:t xml:space="preserve"> (EOS#), </w:t>
            </w:r>
            <w:proofErr w:type="spellStart"/>
            <w:r w:rsidRPr="00986960">
              <w:rPr>
                <w:rFonts w:asciiTheme="minorHAnsi" w:cstheme="minorHAnsi"/>
                <w:sz w:val="21"/>
                <w:szCs w:val="21"/>
              </w:rPr>
              <w:t>bazofilų</w:t>
            </w:r>
            <w:proofErr w:type="spellEnd"/>
            <w:r w:rsidRPr="00986960">
              <w:rPr>
                <w:rFonts w:asciiTheme="minorHAnsi" w:cstheme="minorHAnsi"/>
                <w:sz w:val="21"/>
                <w:szCs w:val="21"/>
              </w:rPr>
              <w:t xml:space="preserve"> (BASO#)), taip pat </w:t>
            </w:r>
            <w:proofErr w:type="spellStart"/>
            <w:r w:rsidRPr="00986960">
              <w:rPr>
                <w:rFonts w:asciiTheme="minorHAnsi" w:cstheme="minorHAnsi"/>
                <w:sz w:val="21"/>
                <w:szCs w:val="21"/>
              </w:rPr>
              <w:t>retikuliocitų</w:t>
            </w:r>
            <w:proofErr w:type="spellEnd"/>
            <w:r w:rsidRPr="00986960">
              <w:rPr>
                <w:rFonts w:asciiTheme="minorHAnsi" w:cstheme="minorHAnsi"/>
                <w:sz w:val="21"/>
                <w:szCs w:val="21"/>
              </w:rPr>
              <w:t xml:space="preserve"> (RET#)  absoliutūs kiekiai kraujyje, leukocitų (WBC-BF) ir jų kategorijų (</w:t>
            </w:r>
            <w:proofErr w:type="spellStart"/>
            <w:r w:rsidRPr="00986960">
              <w:rPr>
                <w:rFonts w:asciiTheme="minorHAnsi" w:cstheme="minorHAnsi"/>
                <w:sz w:val="21"/>
                <w:szCs w:val="21"/>
              </w:rPr>
              <w:t>polimorfonuklearų</w:t>
            </w:r>
            <w:proofErr w:type="spellEnd"/>
            <w:r w:rsidRPr="00986960">
              <w:rPr>
                <w:rFonts w:asciiTheme="minorHAnsi" w:cstheme="minorHAnsi"/>
                <w:sz w:val="21"/>
                <w:szCs w:val="21"/>
              </w:rPr>
              <w:t xml:space="preserve"> (PMN#) ir </w:t>
            </w:r>
            <w:proofErr w:type="spellStart"/>
            <w:r w:rsidRPr="00986960">
              <w:rPr>
                <w:rFonts w:asciiTheme="minorHAnsi" w:cstheme="minorHAnsi"/>
                <w:sz w:val="21"/>
                <w:szCs w:val="21"/>
              </w:rPr>
              <w:t>mononuklearų</w:t>
            </w:r>
            <w:proofErr w:type="spellEnd"/>
            <w:r w:rsidRPr="00986960">
              <w:rPr>
                <w:rFonts w:asciiTheme="minorHAnsi" w:cstheme="minorHAnsi"/>
                <w:sz w:val="21"/>
                <w:szCs w:val="21"/>
              </w:rPr>
              <w:t xml:space="preserve"> (MN#)) absoliutūs kiekiai kūno skystyje yra nustatomi fluorescencinės tėkmės </w:t>
            </w:r>
            <w:proofErr w:type="spellStart"/>
            <w:r w:rsidRPr="00986960">
              <w:rPr>
                <w:rFonts w:asciiTheme="minorHAnsi" w:cstheme="minorHAnsi"/>
                <w:sz w:val="21"/>
                <w:szCs w:val="21"/>
              </w:rPr>
              <w:t>citometrijos</w:t>
            </w:r>
            <w:proofErr w:type="spellEnd"/>
            <w:r w:rsidRPr="00986960">
              <w:rPr>
                <w:rFonts w:asciiTheme="minorHAnsi" w:cstheme="minorHAnsi"/>
                <w:sz w:val="21"/>
                <w:szCs w:val="21"/>
              </w:rPr>
              <w:t xml:space="preserve"> metodu.</w:t>
            </w:r>
          </w:p>
        </w:tc>
        <w:tc>
          <w:tcPr>
            <w:tcW w:w="1559" w:type="dxa"/>
            <w:vAlign w:val="center"/>
          </w:tcPr>
          <w:p w14:paraId="4364A9FA"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6</w:t>
            </w:r>
          </w:p>
        </w:tc>
        <w:tc>
          <w:tcPr>
            <w:tcW w:w="989" w:type="dxa"/>
            <w:vAlign w:val="center"/>
          </w:tcPr>
          <w:p w14:paraId="07D9AF2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4</w:t>
            </w:r>
          </w:p>
        </w:tc>
      </w:tr>
      <w:tr w:rsidR="005E0DC2" w:rsidRPr="00986960" w14:paraId="4A6E819A" w14:textId="77777777" w:rsidTr="05083E46">
        <w:trPr>
          <w:cantSplit/>
        </w:trPr>
        <w:tc>
          <w:tcPr>
            <w:tcW w:w="7083" w:type="dxa"/>
          </w:tcPr>
          <w:p w14:paraId="170AF715" w14:textId="77777777" w:rsidR="005E0DC2" w:rsidRPr="00986960" w:rsidRDefault="005E0DC2" w:rsidP="05083E46">
            <w:pPr>
              <w:rPr>
                <w:rFonts w:asciiTheme="minorHAnsi"/>
                <w:sz w:val="21"/>
                <w:szCs w:val="21"/>
              </w:rPr>
            </w:pPr>
            <w:r w:rsidRPr="00BA13CE">
              <w:rPr>
                <w:rFonts w:asciiTheme="minorHAnsi"/>
                <w:sz w:val="21"/>
                <w:szCs w:val="21"/>
              </w:rPr>
              <w:t>VKK medžiagos BHT tyrimui po atidarymo laikant jas +2 - +8 °C temperatūroje yra tinkamos naudoti ne trumpiau kaip 14 dienų padaliniuose su B, C ir D kategorijų analizatoriais, ir ne trumpiau kaip 7 dienas padalinyje su A kategorijos analizatoriais.</w:t>
            </w:r>
          </w:p>
        </w:tc>
        <w:tc>
          <w:tcPr>
            <w:tcW w:w="1559" w:type="dxa"/>
            <w:vAlign w:val="center"/>
          </w:tcPr>
          <w:p w14:paraId="1AB58E43"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6</w:t>
            </w:r>
          </w:p>
        </w:tc>
        <w:tc>
          <w:tcPr>
            <w:tcW w:w="989" w:type="dxa"/>
            <w:vAlign w:val="center"/>
          </w:tcPr>
          <w:p w14:paraId="421F6B91"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5</w:t>
            </w:r>
          </w:p>
        </w:tc>
      </w:tr>
      <w:tr w:rsidR="005E0DC2" w:rsidRPr="00986960" w14:paraId="4598E2D6" w14:textId="77777777" w:rsidTr="05083E46">
        <w:trPr>
          <w:cantSplit/>
        </w:trPr>
        <w:tc>
          <w:tcPr>
            <w:tcW w:w="7083" w:type="dxa"/>
          </w:tcPr>
          <w:p w14:paraId="0C6EC851"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Visos kasdienei įrangos priežiūrai/valymui skirtos priemonės yra paruoštos naudoti (t. y. jų nereikia perpilti ar skiesti rankiniu būdu), jas galima talpinti tiesiai į analizatorių ir atlikti reikalingas procedūras.</w:t>
            </w:r>
          </w:p>
        </w:tc>
        <w:tc>
          <w:tcPr>
            <w:tcW w:w="1559" w:type="dxa"/>
            <w:vAlign w:val="center"/>
          </w:tcPr>
          <w:p w14:paraId="110776F6"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5</w:t>
            </w:r>
          </w:p>
        </w:tc>
        <w:tc>
          <w:tcPr>
            <w:tcW w:w="989" w:type="dxa"/>
            <w:vAlign w:val="center"/>
          </w:tcPr>
          <w:p w14:paraId="666B834C"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6</w:t>
            </w:r>
          </w:p>
        </w:tc>
      </w:tr>
      <w:tr w:rsidR="005E0DC2" w:rsidRPr="00986960" w14:paraId="78158C6E" w14:textId="77777777" w:rsidTr="05083E46">
        <w:trPr>
          <w:cantSplit/>
        </w:trPr>
        <w:tc>
          <w:tcPr>
            <w:tcW w:w="7083" w:type="dxa"/>
          </w:tcPr>
          <w:p w14:paraId="1542F89F"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Visų automatinių hematologinių analizatorių WBC (Leukocitų absoliutus kiekis) matavimo ribos yra ne siauresnės nei 0,05 - 400 10^9/L.</w:t>
            </w:r>
          </w:p>
        </w:tc>
        <w:tc>
          <w:tcPr>
            <w:tcW w:w="1559" w:type="dxa"/>
            <w:vAlign w:val="center"/>
          </w:tcPr>
          <w:p w14:paraId="4548AD2D"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3</w:t>
            </w:r>
          </w:p>
        </w:tc>
        <w:tc>
          <w:tcPr>
            <w:tcW w:w="989" w:type="dxa"/>
            <w:vAlign w:val="center"/>
          </w:tcPr>
          <w:p w14:paraId="102860C8"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7</w:t>
            </w:r>
          </w:p>
        </w:tc>
      </w:tr>
      <w:tr w:rsidR="005E0DC2" w:rsidRPr="00986960" w14:paraId="11A075A9" w14:textId="77777777" w:rsidTr="05083E46">
        <w:trPr>
          <w:cantSplit/>
        </w:trPr>
        <w:tc>
          <w:tcPr>
            <w:tcW w:w="7083" w:type="dxa"/>
          </w:tcPr>
          <w:p w14:paraId="6DB94581"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 xml:space="preserve">BHT tyrimas apima papildomas analites IG# (Nebrandžių </w:t>
            </w:r>
            <w:proofErr w:type="spellStart"/>
            <w:r w:rsidRPr="00986960">
              <w:rPr>
                <w:rFonts w:asciiTheme="minorHAnsi" w:cstheme="minorHAnsi"/>
                <w:sz w:val="21"/>
                <w:szCs w:val="21"/>
              </w:rPr>
              <w:t>granulocitų</w:t>
            </w:r>
            <w:proofErr w:type="spellEnd"/>
            <w:r w:rsidRPr="00986960">
              <w:rPr>
                <w:rFonts w:asciiTheme="minorHAnsi" w:cstheme="minorHAnsi"/>
                <w:sz w:val="21"/>
                <w:szCs w:val="21"/>
              </w:rPr>
              <w:t xml:space="preserve"> absoliutus kiekis) ir IG% (Nebrandžių </w:t>
            </w:r>
            <w:proofErr w:type="spellStart"/>
            <w:r w:rsidRPr="00986960">
              <w:rPr>
                <w:rFonts w:asciiTheme="minorHAnsi" w:cstheme="minorHAnsi"/>
                <w:sz w:val="21"/>
                <w:szCs w:val="21"/>
              </w:rPr>
              <w:t>granulocitų</w:t>
            </w:r>
            <w:proofErr w:type="spellEnd"/>
            <w:r w:rsidRPr="00986960">
              <w:rPr>
                <w:rFonts w:asciiTheme="minorHAnsi" w:cstheme="minorHAnsi"/>
                <w:sz w:val="21"/>
                <w:szCs w:val="21"/>
              </w:rPr>
              <w:t xml:space="preserve"> santykinis kiekis). Alternatyvūs sprendimai, kai analizatorius pateikia įspėjimus apie šios ląstelių populiacijos buvimą, nebus laikomi atitiktimi papildomai siūlomam kriterijui.</w:t>
            </w:r>
          </w:p>
        </w:tc>
        <w:tc>
          <w:tcPr>
            <w:tcW w:w="1559" w:type="dxa"/>
            <w:vAlign w:val="center"/>
          </w:tcPr>
          <w:p w14:paraId="77AC5547"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295088E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8</w:t>
            </w:r>
          </w:p>
        </w:tc>
      </w:tr>
      <w:tr w:rsidR="005E0DC2" w:rsidRPr="00986960" w14:paraId="1E4AC796" w14:textId="77777777" w:rsidTr="05083E46">
        <w:trPr>
          <w:cantSplit/>
        </w:trPr>
        <w:tc>
          <w:tcPr>
            <w:tcW w:w="7083" w:type="dxa"/>
          </w:tcPr>
          <w:p w14:paraId="53CE9E46"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BHT tyrimas apima papildomas analites NRBC# (</w:t>
            </w:r>
            <w:proofErr w:type="spellStart"/>
            <w:r w:rsidRPr="00986960">
              <w:rPr>
                <w:rFonts w:asciiTheme="minorHAnsi" w:cstheme="minorHAnsi"/>
                <w:sz w:val="21"/>
                <w:szCs w:val="21"/>
              </w:rPr>
              <w:t>Branduolėtų</w:t>
            </w:r>
            <w:proofErr w:type="spellEnd"/>
            <w:r w:rsidRPr="00986960">
              <w:rPr>
                <w:rFonts w:asciiTheme="minorHAnsi" w:cstheme="minorHAnsi"/>
                <w:sz w:val="21"/>
                <w:szCs w:val="21"/>
              </w:rPr>
              <w:t xml:space="preserve"> eritrocitų absoliutus kiekis) ir NRBC% (</w:t>
            </w:r>
            <w:proofErr w:type="spellStart"/>
            <w:r w:rsidRPr="00986960">
              <w:rPr>
                <w:rFonts w:asciiTheme="minorHAnsi" w:cstheme="minorHAnsi"/>
                <w:sz w:val="21"/>
                <w:szCs w:val="21"/>
              </w:rPr>
              <w:t>Branduolėtų</w:t>
            </w:r>
            <w:proofErr w:type="spellEnd"/>
            <w:r w:rsidRPr="00986960">
              <w:rPr>
                <w:rFonts w:asciiTheme="minorHAnsi" w:cstheme="minorHAnsi"/>
                <w:sz w:val="21"/>
                <w:szCs w:val="21"/>
              </w:rPr>
              <w:t xml:space="preserve"> eritrocitų kiekis 100-ui leukocitų)</w:t>
            </w:r>
          </w:p>
        </w:tc>
        <w:tc>
          <w:tcPr>
            <w:tcW w:w="1559" w:type="dxa"/>
            <w:vAlign w:val="center"/>
          </w:tcPr>
          <w:p w14:paraId="389AC104"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23EB8B46"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9</w:t>
            </w:r>
          </w:p>
        </w:tc>
      </w:tr>
      <w:tr w:rsidR="005E0DC2" w:rsidRPr="00986960" w14:paraId="479E1BB5" w14:textId="77777777" w:rsidTr="05083E46">
        <w:trPr>
          <w:cantSplit/>
        </w:trPr>
        <w:tc>
          <w:tcPr>
            <w:tcW w:w="7083" w:type="dxa"/>
          </w:tcPr>
          <w:p w14:paraId="35D78016"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A kategorijos analizatorių BHT tyrimas apima papildomas analites IPF# (Nebrandžių trombocitų absoliutus kiekis) ir IPF (Nebrandžių trombocitų santykinis kiekis) parametrus.</w:t>
            </w:r>
          </w:p>
        </w:tc>
        <w:tc>
          <w:tcPr>
            <w:tcW w:w="1559" w:type="dxa"/>
            <w:vAlign w:val="center"/>
          </w:tcPr>
          <w:p w14:paraId="2759A77B"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357AEB3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10</w:t>
            </w:r>
          </w:p>
        </w:tc>
      </w:tr>
      <w:tr w:rsidR="005E0DC2" w:rsidRPr="00986960" w14:paraId="51C2CD72" w14:textId="77777777" w:rsidTr="05083E46">
        <w:trPr>
          <w:cantSplit/>
        </w:trPr>
        <w:tc>
          <w:tcPr>
            <w:tcW w:w="7083" w:type="dxa"/>
          </w:tcPr>
          <w:p w14:paraId="1799C539"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BHT tyrimas apima papildomą analitę PDW (Trombocito dydžio pasiskirstymo plotis)</w:t>
            </w:r>
          </w:p>
        </w:tc>
        <w:tc>
          <w:tcPr>
            <w:tcW w:w="1559" w:type="dxa"/>
            <w:vAlign w:val="center"/>
          </w:tcPr>
          <w:p w14:paraId="012FE6B7"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25B2A724"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11</w:t>
            </w:r>
          </w:p>
        </w:tc>
      </w:tr>
      <w:tr w:rsidR="005E0DC2" w:rsidRPr="00986960" w14:paraId="33D20684" w14:textId="77777777" w:rsidTr="05083E46">
        <w:trPr>
          <w:cantSplit/>
        </w:trPr>
        <w:tc>
          <w:tcPr>
            <w:tcW w:w="7083" w:type="dxa"/>
          </w:tcPr>
          <w:p w14:paraId="39506AB0"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BHT tyrimas apima papildomą analitę P-LCR (Didelių trombocitų santykinis kiekis)</w:t>
            </w:r>
          </w:p>
        </w:tc>
        <w:tc>
          <w:tcPr>
            <w:tcW w:w="1559" w:type="dxa"/>
            <w:vAlign w:val="center"/>
          </w:tcPr>
          <w:p w14:paraId="5D19C30B"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0,5</w:t>
            </w:r>
          </w:p>
        </w:tc>
        <w:tc>
          <w:tcPr>
            <w:tcW w:w="989" w:type="dxa"/>
            <w:vAlign w:val="center"/>
          </w:tcPr>
          <w:p w14:paraId="405C666C"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12</w:t>
            </w:r>
          </w:p>
        </w:tc>
      </w:tr>
      <w:tr w:rsidR="005E0DC2" w:rsidRPr="00986960" w14:paraId="7127DDA9" w14:textId="77777777" w:rsidTr="05083E46">
        <w:trPr>
          <w:cantSplit/>
        </w:trPr>
        <w:tc>
          <w:tcPr>
            <w:tcW w:w="7083" w:type="dxa"/>
          </w:tcPr>
          <w:p w14:paraId="1B50C228"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RET tyrimas apima papildomas analites RET-</w:t>
            </w:r>
            <w:proofErr w:type="spellStart"/>
            <w:r w:rsidRPr="00986960">
              <w:rPr>
                <w:rFonts w:asciiTheme="minorHAnsi" w:cstheme="minorHAnsi"/>
                <w:sz w:val="21"/>
                <w:szCs w:val="21"/>
              </w:rPr>
              <w:t>He</w:t>
            </w:r>
            <w:proofErr w:type="spellEnd"/>
            <w:r w:rsidRPr="00986960">
              <w:rPr>
                <w:rFonts w:asciiTheme="minorHAnsi" w:cstheme="minorHAnsi"/>
                <w:sz w:val="21"/>
                <w:szCs w:val="21"/>
              </w:rPr>
              <w:t xml:space="preserve"> (</w:t>
            </w:r>
            <w:proofErr w:type="spellStart"/>
            <w:r w:rsidRPr="00986960">
              <w:rPr>
                <w:rFonts w:asciiTheme="minorHAnsi" w:cstheme="minorHAnsi"/>
                <w:sz w:val="21"/>
                <w:szCs w:val="21"/>
              </w:rPr>
              <w:t>Retikulocito</w:t>
            </w:r>
            <w:proofErr w:type="spellEnd"/>
            <w:r w:rsidRPr="00986960">
              <w:rPr>
                <w:rFonts w:asciiTheme="minorHAnsi" w:cstheme="minorHAnsi"/>
                <w:sz w:val="21"/>
                <w:szCs w:val="21"/>
              </w:rPr>
              <w:t xml:space="preserve"> hemoglobino kiekis), HYPO-</w:t>
            </w:r>
            <w:proofErr w:type="spellStart"/>
            <w:r w:rsidRPr="00986960">
              <w:rPr>
                <w:rFonts w:asciiTheme="minorHAnsi" w:cstheme="minorHAnsi"/>
                <w:sz w:val="21"/>
                <w:szCs w:val="21"/>
              </w:rPr>
              <w:t>He</w:t>
            </w:r>
            <w:proofErr w:type="spellEnd"/>
            <w:r w:rsidRPr="00986960">
              <w:rPr>
                <w:rFonts w:asciiTheme="minorHAnsi" w:cstheme="minorHAnsi"/>
                <w:sz w:val="21"/>
                <w:szCs w:val="21"/>
              </w:rPr>
              <w:t xml:space="preserve"> (</w:t>
            </w:r>
            <w:proofErr w:type="spellStart"/>
            <w:r w:rsidRPr="00986960">
              <w:rPr>
                <w:rFonts w:asciiTheme="minorHAnsi" w:cstheme="minorHAnsi"/>
                <w:sz w:val="21"/>
                <w:szCs w:val="21"/>
              </w:rPr>
              <w:t>Hipochrominių</w:t>
            </w:r>
            <w:proofErr w:type="spellEnd"/>
            <w:r w:rsidRPr="00986960">
              <w:rPr>
                <w:rFonts w:asciiTheme="minorHAnsi" w:cstheme="minorHAnsi"/>
                <w:sz w:val="21"/>
                <w:szCs w:val="21"/>
              </w:rPr>
              <w:t xml:space="preserve">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HFR (Ryškios fluorescencijos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MFR (Vidutinės fluorescencijos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LFR (Blankios fluorescencijos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 ir IRF (Nebrandžių </w:t>
            </w:r>
            <w:proofErr w:type="spellStart"/>
            <w:r w:rsidRPr="00986960">
              <w:rPr>
                <w:rFonts w:asciiTheme="minorHAnsi" w:cstheme="minorHAnsi"/>
                <w:sz w:val="21"/>
                <w:szCs w:val="21"/>
              </w:rPr>
              <w:t>retikulocitų</w:t>
            </w:r>
            <w:proofErr w:type="spellEnd"/>
            <w:r w:rsidRPr="00986960">
              <w:rPr>
                <w:rFonts w:asciiTheme="minorHAnsi" w:cstheme="minorHAnsi"/>
                <w:sz w:val="21"/>
                <w:szCs w:val="21"/>
              </w:rPr>
              <w:t xml:space="preserve"> santykinis kiekis)</w:t>
            </w:r>
          </w:p>
        </w:tc>
        <w:tc>
          <w:tcPr>
            <w:tcW w:w="1559" w:type="dxa"/>
            <w:vAlign w:val="center"/>
          </w:tcPr>
          <w:p w14:paraId="043547F6"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1,5</w:t>
            </w:r>
          </w:p>
        </w:tc>
        <w:tc>
          <w:tcPr>
            <w:tcW w:w="989" w:type="dxa"/>
            <w:vAlign w:val="center"/>
          </w:tcPr>
          <w:p w14:paraId="0B164A2A"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13</w:t>
            </w:r>
          </w:p>
        </w:tc>
      </w:tr>
      <w:tr w:rsidR="005E0DC2" w:rsidRPr="00986960" w14:paraId="015257F3" w14:textId="77777777" w:rsidTr="05083E46">
        <w:trPr>
          <w:cantSplit/>
        </w:trPr>
        <w:tc>
          <w:tcPr>
            <w:tcW w:w="7083" w:type="dxa"/>
          </w:tcPr>
          <w:p w14:paraId="216F8346" w14:textId="77777777" w:rsidR="005E0DC2" w:rsidRPr="00986960" w:rsidRDefault="005E0DC2" w:rsidP="006C46D0">
            <w:pPr>
              <w:rPr>
                <w:rFonts w:asciiTheme="minorHAnsi" w:cstheme="minorHAnsi"/>
                <w:sz w:val="21"/>
                <w:szCs w:val="21"/>
              </w:rPr>
            </w:pPr>
            <w:r w:rsidRPr="00986960">
              <w:rPr>
                <w:rFonts w:asciiTheme="minorHAnsi" w:cstheme="minorHAnsi"/>
                <w:sz w:val="21"/>
                <w:szCs w:val="21"/>
              </w:rPr>
              <w:t>CTM tyrimas apima papildomas analites NRBC (</w:t>
            </w:r>
            <w:proofErr w:type="spellStart"/>
            <w:r w:rsidRPr="00986960">
              <w:rPr>
                <w:rFonts w:asciiTheme="minorHAnsi" w:cstheme="minorHAnsi"/>
                <w:sz w:val="21"/>
                <w:szCs w:val="21"/>
              </w:rPr>
              <w:t>Branduolėtų</w:t>
            </w:r>
            <w:proofErr w:type="spellEnd"/>
            <w:r w:rsidRPr="00986960">
              <w:rPr>
                <w:rFonts w:asciiTheme="minorHAnsi" w:cstheme="minorHAnsi"/>
                <w:sz w:val="21"/>
                <w:szCs w:val="21"/>
              </w:rPr>
              <w:t xml:space="preserve"> eritrocitų kiekis 100-ui leukocitų), GIGA (</w:t>
            </w:r>
            <w:proofErr w:type="spellStart"/>
            <w:r w:rsidRPr="00986960">
              <w:rPr>
                <w:rFonts w:asciiTheme="minorHAnsi" w:cstheme="minorHAnsi"/>
                <w:sz w:val="21"/>
                <w:szCs w:val="21"/>
              </w:rPr>
              <w:t>Gigantiniai</w:t>
            </w:r>
            <w:proofErr w:type="spellEnd"/>
            <w:r w:rsidRPr="00986960">
              <w:rPr>
                <w:rFonts w:asciiTheme="minorHAnsi" w:cstheme="minorHAnsi"/>
                <w:sz w:val="21"/>
                <w:szCs w:val="21"/>
              </w:rPr>
              <w:t xml:space="preserve"> trombocitai), AGGR (Trombocitų sankaupos) ir SMUDGE (</w:t>
            </w:r>
            <w:proofErr w:type="spellStart"/>
            <w:r w:rsidRPr="00986960">
              <w:rPr>
                <w:rFonts w:asciiTheme="minorHAnsi" w:cstheme="minorHAnsi"/>
                <w:sz w:val="21"/>
                <w:szCs w:val="21"/>
              </w:rPr>
              <w:t>Gumprechto</w:t>
            </w:r>
            <w:proofErr w:type="spellEnd"/>
            <w:r w:rsidRPr="00986960">
              <w:rPr>
                <w:rFonts w:asciiTheme="minorHAnsi" w:cstheme="minorHAnsi"/>
                <w:sz w:val="21"/>
                <w:szCs w:val="21"/>
              </w:rPr>
              <w:t xml:space="preserve"> šešėliai)</w:t>
            </w:r>
          </w:p>
        </w:tc>
        <w:tc>
          <w:tcPr>
            <w:tcW w:w="1559" w:type="dxa"/>
            <w:vAlign w:val="center"/>
          </w:tcPr>
          <w:p w14:paraId="4E0BD70A" w14:textId="77777777" w:rsidR="005E0DC2" w:rsidRPr="00986960" w:rsidRDefault="005E0DC2" w:rsidP="006C46D0">
            <w:pPr>
              <w:jc w:val="center"/>
              <w:rPr>
                <w:rFonts w:asciiTheme="minorHAnsi" w:cstheme="minorHAnsi"/>
                <w:sz w:val="21"/>
                <w:szCs w:val="21"/>
              </w:rPr>
            </w:pPr>
            <w:r w:rsidRPr="00986960">
              <w:rPr>
                <w:rFonts w:asciiTheme="minorHAnsi" w:cstheme="minorHAnsi"/>
                <w:b/>
                <w:bCs/>
                <w:sz w:val="21"/>
                <w:szCs w:val="21"/>
              </w:rPr>
              <w:t>2</w:t>
            </w:r>
          </w:p>
        </w:tc>
        <w:tc>
          <w:tcPr>
            <w:tcW w:w="989" w:type="dxa"/>
            <w:vAlign w:val="center"/>
          </w:tcPr>
          <w:p w14:paraId="374586D5"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sz w:val="21"/>
                <w:szCs w:val="21"/>
              </w:rPr>
            </w:pPr>
            <w:r w:rsidRPr="00986960">
              <w:rPr>
                <w:rFonts w:asciiTheme="minorHAnsi" w:hAnsiTheme="minorHAnsi" w:cstheme="minorHAnsi"/>
                <w:sz w:val="21"/>
                <w:szCs w:val="21"/>
              </w:rPr>
              <w:t>A</w:t>
            </w:r>
            <w:r w:rsidRPr="00986960">
              <w:rPr>
                <w:rFonts w:asciiTheme="minorHAnsi" w:hAnsiTheme="minorHAnsi" w:cstheme="minorHAnsi"/>
                <w:sz w:val="21"/>
                <w:szCs w:val="21"/>
                <w:vertAlign w:val="subscript"/>
              </w:rPr>
              <w:t>14</w:t>
            </w:r>
          </w:p>
        </w:tc>
      </w:tr>
      <w:tr w:rsidR="005E0DC2" w:rsidRPr="00986960" w14:paraId="39057951" w14:textId="77777777" w:rsidTr="05083E46">
        <w:trPr>
          <w:cantSplit/>
        </w:trPr>
        <w:tc>
          <w:tcPr>
            <w:tcW w:w="7083" w:type="dxa"/>
          </w:tcPr>
          <w:p w14:paraId="4F04AC17" w14:textId="77777777" w:rsidR="005E0DC2" w:rsidRPr="00986960" w:rsidRDefault="005E0DC2" w:rsidP="006C46D0">
            <w:pPr>
              <w:jc w:val="right"/>
              <w:rPr>
                <w:rFonts w:asciiTheme="minorHAnsi" w:cstheme="minorHAnsi"/>
                <w:b/>
                <w:bCs/>
                <w:sz w:val="21"/>
                <w:szCs w:val="21"/>
              </w:rPr>
            </w:pPr>
            <w:r w:rsidRPr="00986960">
              <w:rPr>
                <w:rFonts w:asciiTheme="minorHAnsi" w:cstheme="minorHAnsi"/>
                <w:b/>
                <w:bCs/>
                <w:sz w:val="21"/>
                <w:szCs w:val="21"/>
              </w:rPr>
              <w:t>VISO:</w:t>
            </w:r>
          </w:p>
        </w:tc>
        <w:tc>
          <w:tcPr>
            <w:tcW w:w="1559" w:type="dxa"/>
          </w:tcPr>
          <w:p w14:paraId="014ACBA6"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r w:rsidRPr="00986960">
              <w:rPr>
                <w:rFonts w:asciiTheme="minorHAnsi" w:hAnsiTheme="minorHAnsi" w:cstheme="minorHAnsi"/>
                <w:b/>
                <w:bCs/>
                <w:sz w:val="21"/>
                <w:szCs w:val="21"/>
              </w:rPr>
              <w:t>40</w:t>
            </w:r>
          </w:p>
        </w:tc>
        <w:tc>
          <w:tcPr>
            <w:tcW w:w="989" w:type="dxa"/>
          </w:tcPr>
          <w:p w14:paraId="2D733D5A" w14:textId="77777777" w:rsidR="005E0DC2" w:rsidRPr="00986960" w:rsidRDefault="005E0DC2" w:rsidP="006C46D0">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1"/>
                <w:szCs w:val="21"/>
              </w:rPr>
            </w:pPr>
            <w:proofErr w:type="spellStart"/>
            <w:r w:rsidRPr="00986960">
              <w:rPr>
                <w:rFonts w:asciiTheme="minorHAnsi" w:hAnsiTheme="minorHAnsi" w:cstheme="minorHAnsi"/>
                <w:b/>
                <w:bCs/>
                <w:sz w:val="21"/>
                <w:szCs w:val="21"/>
              </w:rPr>
              <w:t>A</w:t>
            </w:r>
            <w:r w:rsidRPr="00986960">
              <w:rPr>
                <w:rFonts w:asciiTheme="minorHAnsi" w:hAnsiTheme="minorHAnsi" w:cstheme="minorHAnsi"/>
                <w:b/>
                <w:bCs/>
                <w:sz w:val="21"/>
                <w:szCs w:val="21"/>
                <w:vertAlign w:val="subscript"/>
              </w:rPr>
              <w:t>max</w:t>
            </w:r>
            <w:proofErr w:type="spellEnd"/>
          </w:p>
        </w:tc>
      </w:tr>
    </w:tbl>
    <w:p w14:paraId="220BF2AE" w14:textId="77777777" w:rsidR="005E0DC2" w:rsidRPr="00986960" w:rsidRDefault="005E0DC2" w:rsidP="005E0DC2">
      <w:pPr>
        <w:pStyle w:val="Body"/>
        <w:jc w:val="both"/>
        <w:rPr>
          <w:rFonts w:asciiTheme="minorHAnsi" w:hAnsiTheme="minorHAnsi" w:cstheme="minorHAnsi"/>
          <w:b/>
          <w:bCs/>
          <w:sz w:val="21"/>
          <w:szCs w:val="21"/>
        </w:rPr>
      </w:pPr>
    </w:p>
    <w:p w14:paraId="3F69BBB4" w14:textId="77777777" w:rsidR="005E0DC2" w:rsidRPr="00986960" w:rsidRDefault="005E0DC2" w:rsidP="005B5BC1">
      <w:pPr>
        <w:pStyle w:val="Body"/>
        <w:numPr>
          <w:ilvl w:val="1"/>
          <w:numId w:val="13"/>
        </w:numPr>
        <w:ind w:left="0" w:firstLine="567"/>
        <w:jc w:val="both"/>
        <w:rPr>
          <w:rFonts w:asciiTheme="minorHAnsi" w:hAnsiTheme="minorHAnsi" w:cstheme="minorHAnsi"/>
          <w:sz w:val="21"/>
          <w:szCs w:val="21"/>
        </w:rPr>
      </w:pPr>
      <w:r w:rsidRPr="00986960">
        <w:rPr>
          <w:rFonts w:asciiTheme="minorHAnsi" w:hAnsiTheme="minorHAnsi" w:cstheme="minorHAnsi"/>
          <w:b/>
          <w:bCs/>
          <w:sz w:val="21"/>
          <w:szCs w:val="21"/>
        </w:rPr>
        <w:t>Kriterijaus (T) balas</w:t>
      </w:r>
      <w:r w:rsidRPr="00986960">
        <w:rPr>
          <w:rFonts w:asciiTheme="minorHAnsi" w:hAnsiTheme="minorHAnsi" w:cstheme="minorHAnsi"/>
          <w:sz w:val="21"/>
          <w:szCs w:val="21"/>
        </w:rPr>
        <w:t xml:space="preserve"> yra apskaičiuojamas sudedant šio kriterijaus parametrų (A</w:t>
      </w:r>
      <w:r w:rsidRPr="00986960">
        <w:rPr>
          <w:rFonts w:asciiTheme="minorHAnsi" w:hAnsiTheme="minorHAnsi" w:cstheme="minorHAnsi"/>
          <w:sz w:val="21"/>
          <w:szCs w:val="21"/>
          <w:vertAlign w:val="subscript"/>
        </w:rPr>
        <w:t>1</w:t>
      </w:r>
      <w:r w:rsidRPr="00986960">
        <w:rPr>
          <w:rFonts w:asciiTheme="minorHAnsi" w:hAnsiTheme="minorHAnsi" w:cstheme="minorHAnsi"/>
          <w:sz w:val="21"/>
          <w:szCs w:val="21"/>
        </w:rPr>
        <w:t xml:space="preserve"> – A</w:t>
      </w:r>
      <w:r w:rsidRPr="00986960">
        <w:rPr>
          <w:rFonts w:asciiTheme="minorHAnsi" w:hAnsiTheme="minorHAnsi" w:cstheme="minorHAnsi"/>
          <w:sz w:val="21"/>
          <w:szCs w:val="21"/>
          <w:vertAlign w:val="subscript"/>
        </w:rPr>
        <w:t>14</w:t>
      </w:r>
      <w:r w:rsidRPr="00986960">
        <w:rPr>
          <w:rFonts w:asciiTheme="minorHAnsi" w:hAnsiTheme="minorHAnsi" w:cstheme="minorHAnsi"/>
          <w:sz w:val="21"/>
          <w:szCs w:val="21"/>
        </w:rPr>
        <w:t xml:space="preserve">) įvertinimus: </w:t>
      </w:r>
    </w:p>
    <w:p w14:paraId="5652AE99" w14:textId="77777777" w:rsidR="005E0DC2" w:rsidRPr="00986960" w:rsidRDefault="005E0DC2" w:rsidP="005E0DC2">
      <w:pPr>
        <w:pStyle w:val="Body"/>
        <w:jc w:val="both"/>
        <w:rPr>
          <w:rFonts w:asciiTheme="minorHAnsi" w:hAnsiTheme="minorHAnsi" w:cstheme="minorHAnsi"/>
          <w:sz w:val="21"/>
          <w:szCs w:val="21"/>
        </w:rPr>
      </w:pPr>
      <m:oMathPara>
        <m:oMath>
          <m:r>
            <w:rPr>
              <w:rFonts w:ascii="Cambria Math" w:hAnsi="Cambria Math" w:cstheme="minorHAnsi"/>
              <w:sz w:val="21"/>
              <w:szCs w:val="21"/>
            </w:rPr>
            <m:t>T=</m:t>
          </m:r>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i/>
                      <w:sz w:val="21"/>
                      <w:szCs w:val="21"/>
                    </w:rPr>
                  </m:ctrlPr>
                </m:sSubPr>
                <m:e>
                  <m:r>
                    <w:rPr>
                      <w:rFonts w:ascii="Cambria Math" w:hAnsi="Cambria Math" w:cstheme="minorHAnsi"/>
                      <w:sz w:val="21"/>
                      <w:szCs w:val="21"/>
                    </w:rPr>
                    <m:t>A</m:t>
                  </m:r>
                </m:e>
                <m:sub>
                  <m:r>
                    <w:rPr>
                      <w:rFonts w:ascii="Cambria Math" w:hAnsi="Cambria Math" w:cstheme="minorHAnsi"/>
                      <w:sz w:val="21"/>
                      <w:szCs w:val="21"/>
                    </w:rPr>
                    <m:t>S</m:t>
                  </m:r>
                </m:sub>
              </m:sSub>
            </m:e>
          </m:nary>
        </m:oMath>
      </m:oMathPara>
    </w:p>
    <w:p w14:paraId="3D0104FD" w14:textId="77777777" w:rsidR="005E0DC2" w:rsidRPr="00986960" w:rsidRDefault="005E0DC2" w:rsidP="005E0DC2">
      <w:pPr>
        <w:pStyle w:val="Body"/>
        <w:jc w:val="both"/>
        <w:rPr>
          <w:rFonts w:asciiTheme="minorHAnsi" w:hAnsiTheme="minorHAnsi" w:cstheme="minorHAnsi"/>
          <w:sz w:val="21"/>
          <w:szCs w:val="21"/>
        </w:rPr>
      </w:pPr>
    </w:p>
    <w:p w14:paraId="6B293CD8" w14:textId="32A55A9B" w:rsidR="005E0DC2" w:rsidRPr="00986960" w:rsidRDefault="005E0DC2" w:rsidP="05083E46">
      <w:pPr>
        <w:pStyle w:val="Body"/>
        <w:ind w:firstLine="567"/>
        <w:jc w:val="both"/>
        <w:rPr>
          <w:rFonts w:asciiTheme="minorHAnsi" w:hAnsiTheme="minorHAnsi" w:cstheme="minorBidi"/>
          <w:sz w:val="21"/>
          <w:szCs w:val="21"/>
        </w:rPr>
      </w:pPr>
      <w:r w:rsidRPr="05083E46">
        <w:rPr>
          <w:rFonts w:asciiTheme="minorHAnsi" w:hAnsiTheme="minorHAnsi" w:cstheme="minorBidi"/>
          <w:sz w:val="21"/>
          <w:szCs w:val="21"/>
        </w:rPr>
        <w:t>Tiekėjo pasiūlyti parametrai A</w:t>
      </w:r>
      <w:r w:rsidRPr="05083E46">
        <w:rPr>
          <w:rFonts w:asciiTheme="minorHAnsi" w:hAnsiTheme="minorHAnsi" w:cstheme="minorBidi"/>
          <w:sz w:val="21"/>
          <w:szCs w:val="21"/>
          <w:vertAlign w:val="subscript"/>
        </w:rPr>
        <w:t>1</w:t>
      </w:r>
      <w:r w:rsidRPr="05083E46">
        <w:rPr>
          <w:rFonts w:asciiTheme="minorHAnsi" w:hAnsiTheme="minorHAnsi" w:cstheme="minorBidi"/>
          <w:sz w:val="21"/>
          <w:szCs w:val="21"/>
        </w:rPr>
        <w:t xml:space="preserve"> – A</w:t>
      </w:r>
      <w:r w:rsidRPr="05083E46">
        <w:rPr>
          <w:rFonts w:asciiTheme="minorHAnsi" w:hAnsiTheme="minorHAnsi" w:cstheme="minorBidi"/>
          <w:sz w:val="21"/>
          <w:szCs w:val="21"/>
          <w:vertAlign w:val="subscript"/>
        </w:rPr>
        <w:t>14</w:t>
      </w:r>
      <w:r w:rsidRPr="05083E46">
        <w:rPr>
          <w:rFonts w:asciiTheme="minorHAnsi" w:hAnsiTheme="minorHAnsi" w:cstheme="minorBidi"/>
          <w:sz w:val="21"/>
          <w:szCs w:val="21"/>
        </w:rPr>
        <w:t xml:space="preserve"> vertinami balais</w:t>
      </w:r>
      <w:r w:rsidR="00F7531C" w:rsidRPr="05083E46">
        <w:rPr>
          <w:rFonts w:asciiTheme="minorHAnsi" w:hAnsiTheme="minorHAnsi" w:cstheme="minorBidi"/>
          <w:sz w:val="21"/>
          <w:szCs w:val="21"/>
        </w:rPr>
        <w:t>, statiniu metodu</w:t>
      </w:r>
      <w:r w:rsidRPr="05083E46">
        <w:rPr>
          <w:rFonts w:asciiTheme="minorHAnsi" w:hAnsiTheme="minorHAnsi" w:cstheme="minorBidi"/>
          <w:sz w:val="21"/>
          <w:szCs w:val="21"/>
        </w:rPr>
        <w:t>. Jei parametrai atitinka keliamus reikalavimus, skiriamų balų skaičius kiekvienam iš parametrų nurodytas 2 lentelėje. Priešingu atveju parametrams suteikiama 0 balų.</w:t>
      </w:r>
    </w:p>
    <w:p w14:paraId="281009A1" w14:textId="77777777" w:rsidR="005E0DC2" w:rsidRPr="00986960" w:rsidRDefault="005E0DC2" w:rsidP="005E0DC2">
      <w:pPr>
        <w:pStyle w:val="Body"/>
        <w:jc w:val="both"/>
        <w:rPr>
          <w:rFonts w:asciiTheme="minorHAnsi" w:hAnsiTheme="minorHAnsi" w:cstheme="minorHAnsi"/>
          <w:sz w:val="21"/>
          <w:szCs w:val="21"/>
        </w:rPr>
      </w:pPr>
    </w:p>
    <w:p w14:paraId="0A4E3358" w14:textId="77777777" w:rsidR="005E0DC2" w:rsidRPr="00986960" w:rsidRDefault="005E0DC2" w:rsidP="005B5BC1">
      <w:pPr>
        <w:pStyle w:val="Body"/>
        <w:numPr>
          <w:ilvl w:val="0"/>
          <w:numId w:val="13"/>
        </w:numPr>
        <w:ind w:left="0" w:firstLine="567"/>
        <w:jc w:val="both"/>
        <w:rPr>
          <w:rFonts w:asciiTheme="minorHAnsi" w:hAnsiTheme="minorHAnsi" w:cstheme="minorHAnsi"/>
          <w:sz w:val="21"/>
          <w:szCs w:val="21"/>
        </w:rPr>
      </w:pPr>
      <w:r w:rsidRPr="00986960">
        <w:rPr>
          <w:rFonts w:asciiTheme="minorHAnsi" w:hAnsiTheme="minorHAnsi" w:cstheme="minorHAnsi"/>
          <w:sz w:val="21"/>
          <w:szCs w:val="21"/>
        </w:rPr>
        <w:t>Tiekėjų surinkti ekonominio naudingumo balai bus perskaičiuojami, jei tiekėjo pasiūlymas, kurio pirkimo metu nustatyto parametro reikšmė buvo geriausia ir su ja buvo lyginamos kitų dalyvių parametrų reikšmės:</w:t>
      </w:r>
    </w:p>
    <w:p w14:paraId="75145FE0" w14:textId="77777777" w:rsidR="005E0DC2" w:rsidRPr="00986960" w:rsidRDefault="005E0DC2" w:rsidP="005B5BC1">
      <w:pPr>
        <w:pStyle w:val="Body"/>
        <w:numPr>
          <w:ilvl w:val="2"/>
          <w:numId w:val="13"/>
        </w:numPr>
        <w:jc w:val="both"/>
        <w:rPr>
          <w:rFonts w:asciiTheme="minorHAnsi" w:hAnsiTheme="minorHAnsi" w:cstheme="minorHAnsi"/>
          <w:sz w:val="21"/>
          <w:szCs w:val="21"/>
        </w:rPr>
      </w:pPr>
      <w:r w:rsidRPr="00986960">
        <w:rPr>
          <w:rFonts w:asciiTheme="minorHAnsi" w:hAnsiTheme="minorHAnsi" w:cstheme="minorHAnsi"/>
          <w:sz w:val="21"/>
          <w:szCs w:val="21"/>
        </w:rPr>
        <w:t>yra atmetamas;</w:t>
      </w:r>
    </w:p>
    <w:p w14:paraId="29AF1B53" w14:textId="77777777" w:rsidR="005E0DC2" w:rsidRPr="00986960" w:rsidRDefault="005E0DC2" w:rsidP="005B5BC1">
      <w:pPr>
        <w:pStyle w:val="Body"/>
        <w:numPr>
          <w:ilvl w:val="2"/>
          <w:numId w:val="13"/>
        </w:numPr>
        <w:jc w:val="both"/>
        <w:rPr>
          <w:rFonts w:asciiTheme="minorHAnsi" w:hAnsiTheme="minorHAnsi" w:cstheme="minorHAnsi"/>
          <w:sz w:val="21"/>
          <w:szCs w:val="21"/>
        </w:rPr>
      </w:pPr>
      <w:r w:rsidRPr="00986960">
        <w:rPr>
          <w:rFonts w:asciiTheme="minorHAnsi" w:hAnsiTheme="minorHAnsi" w:cstheme="minorHAnsi"/>
          <w:sz w:val="21"/>
          <w:szCs w:val="21"/>
        </w:rPr>
        <w:t>tiekėjas atšaukia savo pasiūlymą.</w:t>
      </w:r>
    </w:p>
    <w:p w14:paraId="3DB7F7E0" w14:textId="77777777" w:rsidR="005E0DC2" w:rsidRPr="00986960" w:rsidRDefault="005E0DC2" w:rsidP="005B5BC1">
      <w:pPr>
        <w:pStyle w:val="Body"/>
        <w:numPr>
          <w:ilvl w:val="1"/>
          <w:numId w:val="13"/>
        </w:numPr>
        <w:jc w:val="both"/>
        <w:rPr>
          <w:rFonts w:asciiTheme="minorHAnsi" w:hAnsiTheme="minorHAnsi" w:cstheme="minorHAnsi"/>
          <w:sz w:val="21"/>
          <w:szCs w:val="21"/>
        </w:rPr>
      </w:pPr>
      <w:r w:rsidRPr="00986960">
        <w:rPr>
          <w:rFonts w:asciiTheme="minorHAnsi" w:hAnsiTheme="minorHAnsi" w:cstheme="minorHAnsi"/>
          <w:sz w:val="21"/>
          <w:szCs w:val="21"/>
        </w:rPr>
        <w:lastRenderedPageBreak/>
        <w:t>Kriterijų balai apvalinami paliekant 2 (du) skaitmenis po kablelio.</w:t>
      </w:r>
    </w:p>
    <w:p w14:paraId="55AD131B" w14:textId="77777777" w:rsidR="005E0DC2" w:rsidRPr="00986960" w:rsidRDefault="005E0DC2" w:rsidP="005E0DC2">
      <w:pPr>
        <w:pStyle w:val="Body"/>
        <w:jc w:val="both"/>
        <w:rPr>
          <w:sz w:val="21"/>
          <w:szCs w:val="21"/>
        </w:rPr>
      </w:pPr>
    </w:p>
    <w:p w14:paraId="2185B8AD" w14:textId="77777777" w:rsidR="00B87B45" w:rsidRPr="00986960" w:rsidRDefault="005E0DC2" w:rsidP="00986960">
      <w:pPr>
        <w:pStyle w:val="Sraopastraipa"/>
        <w:numPr>
          <w:ilvl w:val="0"/>
          <w:numId w:val="13"/>
        </w:numPr>
        <w:spacing w:line="240" w:lineRule="auto"/>
        <w:ind w:left="0" w:firstLine="567"/>
        <w:jc w:val="both"/>
      </w:pPr>
      <w:r w:rsidRPr="00986960">
        <w:t>Tais atvejais, kai kelių dalyvių pasiūlymų ekonominis naudingumas yra vienodas, nustatant pasiūlymų eilę, pirmesnis į šią eilę įrašomas tiekėjas, kurio pasiūlymas pateiktas anksčiausiai.</w:t>
      </w:r>
    </w:p>
    <w:p w14:paraId="054BBDB1" w14:textId="47945B77" w:rsidR="002F396F" w:rsidRPr="00682B25" w:rsidRDefault="00D33821" w:rsidP="005E0DC2">
      <w:pPr>
        <w:jc w:val="center"/>
      </w:pPr>
      <w:r w:rsidRPr="00682B25">
        <w:rPr>
          <w:rFonts w:cstheme="minorHAnsi"/>
          <w:sz w:val="22"/>
          <w:szCs w:val="22"/>
        </w:rPr>
        <w:t>_______</w:t>
      </w:r>
      <w:bookmarkEnd w:id="69"/>
      <w:bookmarkEnd w:id="70"/>
      <w:bookmarkEnd w:id="71"/>
    </w:p>
    <w:sectPr w:rsidR="002F396F"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6856" w14:textId="77777777" w:rsidR="001661BF" w:rsidRDefault="001661BF" w:rsidP="00D05666">
      <w:r>
        <w:separator/>
      </w:r>
    </w:p>
  </w:endnote>
  <w:endnote w:type="continuationSeparator" w:id="0">
    <w:p w14:paraId="5E6575C4" w14:textId="77777777" w:rsidR="001661BF" w:rsidRDefault="001661BF" w:rsidP="00D05666">
      <w:r>
        <w:continuationSeparator/>
      </w:r>
    </w:p>
  </w:endnote>
  <w:endnote w:type="continuationNotice" w:id="1">
    <w:p w14:paraId="0FD0938E" w14:textId="77777777" w:rsidR="001661BF" w:rsidRDefault="00166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0560" w14:textId="77777777" w:rsidR="001661BF" w:rsidRDefault="001661BF" w:rsidP="00D05666">
      <w:r>
        <w:separator/>
      </w:r>
    </w:p>
  </w:footnote>
  <w:footnote w:type="continuationSeparator" w:id="0">
    <w:p w14:paraId="7E8EEAAD" w14:textId="77777777" w:rsidR="001661BF" w:rsidRDefault="001661BF" w:rsidP="00D05666">
      <w:r>
        <w:continuationSeparator/>
      </w:r>
    </w:p>
  </w:footnote>
  <w:footnote w:type="continuationNotice" w:id="1">
    <w:p w14:paraId="378C29B5" w14:textId="77777777" w:rsidR="001661BF" w:rsidRDefault="001661B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55EAF"/>
    <w:multiLevelType w:val="multilevel"/>
    <w:tmpl w:val="6C463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9D34A38"/>
    <w:multiLevelType w:val="multilevel"/>
    <w:tmpl w:val="05C6E25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124E90"/>
    <w:multiLevelType w:val="multilevel"/>
    <w:tmpl w:val="F086DC28"/>
    <w:lvl w:ilvl="0">
      <w:start w:val="4"/>
      <w:numFmt w:val="decimal"/>
      <w:lvlText w:val="%1."/>
      <w:lvlJc w:val="left"/>
      <w:pPr>
        <w:ind w:left="360" w:hanging="360"/>
      </w:pPr>
      <w:rPr>
        <w:rFonts w:hint="default"/>
        <w:b/>
        <w:sz w:val="21"/>
        <w:szCs w:val="21"/>
      </w:rPr>
    </w:lvl>
    <w:lvl w:ilvl="1">
      <w:start w:val="1"/>
      <w:numFmt w:val="decimal"/>
      <w:lvlText w:val="%1.%2."/>
      <w:lvlJc w:val="left"/>
      <w:pPr>
        <w:ind w:left="792" w:hanging="432"/>
      </w:pPr>
      <w:rPr>
        <w:rFonts w:hint="default"/>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601230675">
    <w:abstractNumId w:val="7"/>
  </w:num>
  <w:num w:numId="2" w16cid:durableId="141970458">
    <w:abstractNumId w:val="2"/>
  </w:num>
  <w:num w:numId="3" w16cid:durableId="2146775322">
    <w:abstractNumId w:val="13"/>
  </w:num>
  <w:num w:numId="4" w16cid:durableId="989288123">
    <w:abstractNumId w:val="10"/>
  </w:num>
  <w:num w:numId="5" w16cid:durableId="2137216959">
    <w:abstractNumId w:val="0"/>
  </w:num>
  <w:num w:numId="6" w16cid:durableId="1282686484">
    <w:abstractNumId w:val="14"/>
  </w:num>
  <w:num w:numId="7" w16cid:durableId="302006035">
    <w:abstractNumId w:val="3"/>
  </w:num>
  <w:num w:numId="8" w16cid:durableId="330839055">
    <w:abstractNumId w:val="1"/>
  </w:num>
  <w:num w:numId="9" w16cid:durableId="1195313020">
    <w:abstractNumId w:val="9"/>
  </w:num>
  <w:num w:numId="10" w16cid:durableId="1526749275">
    <w:abstractNumId w:val="8"/>
  </w:num>
  <w:num w:numId="11" w16cid:durableId="1507866535">
    <w:abstractNumId w:val="12"/>
  </w:num>
  <w:num w:numId="12" w16cid:durableId="496044809">
    <w:abstractNumId w:val="5"/>
  </w:num>
  <w:num w:numId="13" w16cid:durableId="504634198">
    <w:abstractNumId w:val="11"/>
  </w:num>
  <w:num w:numId="14" w16cid:durableId="1046442559">
    <w:abstractNumId w:val="6"/>
  </w:num>
  <w:num w:numId="15" w16cid:durableId="1780102095">
    <w:abstractNumId w:val="4"/>
  </w:num>
  <w:num w:numId="16" w16cid:durableId="1165168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040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891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765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341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60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7860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710"/>
    <w:rsid w:val="00003A28"/>
    <w:rsid w:val="00003A3F"/>
    <w:rsid w:val="00003F3C"/>
    <w:rsid w:val="0000427B"/>
    <w:rsid w:val="00004453"/>
    <w:rsid w:val="000044FA"/>
    <w:rsid w:val="00004521"/>
    <w:rsid w:val="00004A08"/>
    <w:rsid w:val="00004E0F"/>
    <w:rsid w:val="00004E33"/>
    <w:rsid w:val="00005F36"/>
    <w:rsid w:val="000060AC"/>
    <w:rsid w:val="00006405"/>
    <w:rsid w:val="000066F9"/>
    <w:rsid w:val="00006991"/>
    <w:rsid w:val="00007420"/>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629"/>
    <w:rsid w:val="00041D78"/>
    <w:rsid w:val="00041EB9"/>
    <w:rsid w:val="00041FF0"/>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0F24"/>
    <w:rsid w:val="00061084"/>
    <w:rsid w:val="000613D6"/>
    <w:rsid w:val="00061466"/>
    <w:rsid w:val="00061672"/>
    <w:rsid w:val="00061E86"/>
    <w:rsid w:val="00061FA2"/>
    <w:rsid w:val="0006300C"/>
    <w:rsid w:val="0006311F"/>
    <w:rsid w:val="000631F1"/>
    <w:rsid w:val="00064868"/>
    <w:rsid w:val="0006575D"/>
    <w:rsid w:val="000659E9"/>
    <w:rsid w:val="00065AF5"/>
    <w:rsid w:val="00065E17"/>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B72"/>
    <w:rsid w:val="00080396"/>
    <w:rsid w:val="00080EE8"/>
    <w:rsid w:val="00080F53"/>
    <w:rsid w:val="00081A55"/>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1ED5"/>
    <w:rsid w:val="00092108"/>
    <w:rsid w:val="0009292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3760"/>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BA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1B0"/>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6F6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286"/>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6C85"/>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364"/>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971"/>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092"/>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4F59"/>
    <w:rsid w:val="00166073"/>
    <w:rsid w:val="001661BF"/>
    <w:rsid w:val="0016665C"/>
    <w:rsid w:val="00166ADC"/>
    <w:rsid w:val="00166EB7"/>
    <w:rsid w:val="00167160"/>
    <w:rsid w:val="00167192"/>
    <w:rsid w:val="00167555"/>
    <w:rsid w:val="00167687"/>
    <w:rsid w:val="00167E09"/>
    <w:rsid w:val="00170676"/>
    <w:rsid w:val="0017154D"/>
    <w:rsid w:val="0017166C"/>
    <w:rsid w:val="00171B83"/>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1AF"/>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9CC"/>
    <w:rsid w:val="00193D61"/>
    <w:rsid w:val="00194439"/>
    <w:rsid w:val="00194544"/>
    <w:rsid w:val="00194723"/>
    <w:rsid w:val="00194B3F"/>
    <w:rsid w:val="001953C4"/>
    <w:rsid w:val="001954F1"/>
    <w:rsid w:val="00195572"/>
    <w:rsid w:val="0019597B"/>
    <w:rsid w:val="00195BD8"/>
    <w:rsid w:val="00195C8A"/>
    <w:rsid w:val="00195CF3"/>
    <w:rsid w:val="001964C5"/>
    <w:rsid w:val="00196AA8"/>
    <w:rsid w:val="00196B86"/>
    <w:rsid w:val="00196FAF"/>
    <w:rsid w:val="0019749C"/>
    <w:rsid w:val="001977F6"/>
    <w:rsid w:val="00197943"/>
    <w:rsid w:val="00197EF6"/>
    <w:rsid w:val="001A0073"/>
    <w:rsid w:val="001A0B73"/>
    <w:rsid w:val="001A0DF2"/>
    <w:rsid w:val="001A18C1"/>
    <w:rsid w:val="001A1DD2"/>
    <w:rsid w:val="001A20F6"/>
    <w:rsid w:val="001A2109"/>
    <w:rsid w:val="001A2163"/>
    <w:rsid w:val="001A225E"/>
    <w:rsid w:val="001A25FD"/>
    <w:rsid w:val="001A2693"/>
    <w:rsid w:val="001A2E70"/>
    <w:rsid w:val="001A39B5"/>
    <w:rsid w:val="001A44EB"/>
    <w:rsid w:val="001A46A7"/>
    <w:rsid w:val="001A470D"/>
    <w:rsid w:val="001A49EA"/>
    <w:rsid w:val="001A4C20"/>
    <w:rsid w:val="001A4D7F"/>
    <w:rsid w:val="001A4D9A"/>
    <w:rsid w:val="001A5289"/>
    <w:rsid w:val="001A5F8E"/>
    <w:rsid w:val="001A5FBA"/>
    <w:rsid w:val="001A656C"/>
    <w:rsid w:val="001A67B2"/>
    <w:rsid w:val="001A6CC7"/>
    <w:rsid w:val="001A7088"/>
    <w:rsid w:val="001A70FB"/>
    <w:rsid w:val="001A710C"/>
    <w:rsid w:val="001A74D4"/>
    <w:rsid w:val="001A7678"/>
    <w:rsid w:val="001A7B3D"/>
    <w:rsid w:val="001A7CA7"/>
    <w:rsid w:val="001B11D7"/>
    <w:rsid w:val="001B1895"/>
    <w:rsid w:val="001B2038"/>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9C4"/>
    <w:rsid w:val="001D1F00"/>
    <w:rsid w:val="001D2623"/>
    <w:rsid w:val="001D2CB6"/>
    <w:rsid w:val="001D3049"/>
    <w:rsid w:val="001D34AC"/>
    <w:rsid w:val="001D37D8"/>
    <w:rsid w:val="001D38F4"/>
    <w:rsid w:val="001D3CC3"/>
    <w:rsid w:val="001D414C"/>
    <w:rsid w:val="001D41F4"/>
    <w:rsid w:val="001D4A9C"/>
    <w:rsid w:val="001D4C88"/>
    <w:rsid w:val="001D5752"/>
    <w:rsid w:val="001D5F86"/>
    <w:rsid w:val="001D612E"/>
    <w:rsid w:val="001D65F8"/>
    <w:rsid w:val="001D6DDE"/>
    <w:rsid w:val="001D748B"/>
    <w:rsid w:val="001D7492"/>
    <w:rsid w:val="001D7890"/>
    <w:rsid w:val="001E0107"/>
    <w:rsid w:val="001E1DB0"/>
    <w:rsid w:val="001E250F"/>
    <w:rsid w:val="001E26FE"/>
    <w:rsid w:val="001E2BC5"/>
    <w:rsid w:val="001E318D"/>
    <w:rsid w:val="001E3801"/>
    <w:rsid w:val="001E3D5A"/>
    <w:rsid w:val="001E4891"/>
    <w:rsid w:val="001E4C29"/>
    <w:rsid w:val="001E4DB2"/>
    <w:rsid w:val="001E5432"/>
    <w:rsid w:val="001E5701"/>
    <w:rsid w:val="001E5793"/>
    <w:rsid w:val="001E595B"/>
    <w:rsid w:val="001E61DF"/>
    <w:rsid w:val="001E6F04"/>
    <w:rsid w:val="001E76C7"/>
    <w:rsid w:val="001E7E24"/>
    <w:rsid w:val="001E7FEE"/>
    <w:rsid w:val="001F0216"/>
    <w:rsid w:val="001F04C1"/>
    <w:rsid w:val="001F04EF"/>
    <w:rsid w:val="001F0645"/>
    <w:rsid w:val="001F15A0"/>
    <w:rsid w:val="001F1D6C"/>
    <w:rsid w:val="001F1DB6"/>
    <w:rsid w:val="001F1FB1"/>
    <w:rsid w:val="001F2168"/>
    <w:rsid w:val="001F2517"/>
    <w:rsid w:val="001F284E"/>
    <w:rsid w:val="001F2E11"/>
    <w:rsid w:val="001F2EB6"/>
    <w:rsid w:val="001F3174"/>
    <w:rsid w:val="001F5180"/>
    <w:rsid w:val="001F573E"/>
    <w:rsid w:val="001F5C62"/>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E27"/>
    <w:rsid w:val="00212C25"/>
    <w:rsid w:val="00212F68"/>
    <w:rsid w:val="00213162"/>
    <w:rsid w:val="002135C6"/>
    <w:rsid w:val="00213871"/>
    <w:rsid w:val="00213946"/>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66"/>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4"/>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A3B"/>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7D7"/>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3DA"/>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1B"/>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8D5"/>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573"/>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3767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040"/>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A71"/>
    <w:rsid w:val="00356D0D"/>
    <w:rsid w:val="003576C1"/>
    <w:rsid w:val="0035778D"/>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E96"/>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6F"/>
    <w:rsid w:val="003828B0"/>
    <w:rsid w:val="00382939"/>
    <w:rsid w:val="00382A83"/>
    <w:rsid w:val="003830BD"/>
    <w:rsid w:val="00383169"/>
    <w:rsid w:val="003835F5"/>
    <w:rsid w:val="0038375B"/>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C8D"/>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EA8"/>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14A"/>
    <w:rsid w:val="003B558D"/>
    <w:rsid w:val="003B6752"/>
    <w:rsid w:val="003B6924"/>
    <w:rsid w:val="003B73B7"/>
    <w:rsid w:val="003B7634"/>
    <w:rsid w:val="003B78AD"/>
    <w:rsid w:val="003C018A"/>
    <w:rsid w:val="003C0422"/>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9CE"/>
    <w:rsid w:val="00405B22"/>
    <w:rsid w:val="00405D65"/>
    <w:rsid w:val="0040657F"/>
    <w:rsid w:val="00406B9B"/>
    <w:rsid w:val="00406BBC"/>
    <w:rsid w:val="00406DBF"/>
    <w:rsid w:val="00407939"/>
    <w:rsid w:val="00407C62"/>
    <w:rsid w:val="00407E1E"/>
    <w:rsid w:val="00407FE6"/>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93E"/>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D9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A56"/>
    <w:rsid w:val="00443DE5"/>
    <w:rsid w:val="00443FA8"/>
    <w:rsid w:val="00443FEB"/>
    <w:rsid w:val="00444241"/>
    <w:rsid w:val="004446E5"/>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0EC"/>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9FA"/>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3B"/>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A7F55"/>
    <w:rsid w:val="004B07BD"/>
    <w:rsid w:val="004B0E0C"/>
    <w:rsid w:val="004B15B4"/>
    <w:rsid w:val="004B1A2C"/>
    <w:rsid w:val="004B1B04"/>
    <w:rsid w:val="004B2DCE"/>
    <w:rsid w:val="004B2DE0"/>
    <w:rsid w:val="004B2DE4"/>
    <w:rsid w:val="004B3551"/>
    <w:rsid w:val="004B3B12"/>
    <w:rsid w:val="004B42DF"/>
    <w:rsid w:val="004B4462"/>
    <w:rsid w:val="004B46D4"/>
    <w:rsid w:val="004B4807"/>
    <w:rsid w:val="004B5982"/>
    <w:rsid w:val="004B63DB"/>
    <w:rsid w:val="004B685B"/>
    <w:rsid w:val="004B6BCA"/>
    <w:rsid w:val="004B6BE2"/>
    <w:rsid w:val="004B6FBD"/>
    <w:rsid w:val="004B7455"/>
    <w:rsid w:val="004B7774"/>
    <w:rsid w:val="004B7E66"/>
    <w:rsid w:val="004B7FBC"/>
    <w:rsid w:val="004C010A"/>
    <w:rsid w:val="004C076A"/>
    <w:rsid w:val="004C0B12"/>
    <w:rsid w:val="004C0BB9"/>
    <w:rsid w:val="004C1141"/>
    <w:rsid w:val="004C11AA"/>
    <w:rsid w:val="004C12BE"/>
    <w:rsid w:val="004C1684"/>
    <w:rsid w:val="004C2158"/>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3EC"/>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5D45"/>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A28"/>
    <w:rsid w:val="00513D2A"/>
    <w:rsid w:val="00513F72"/>
    <w:rsid w:val="0051416C"/>
    <w:rsid w:val="0051508F"/>
    <w:rsid w:val="00515B97"/>
    <w:rsid w:val="00515C55"/>
    <w:rsid w:val="00515CBD"/>
    <w:rsid w:val="00515ED0"/>
    <w:rsid w:val="00515EF4"/>
    <w:rsid w:val="00515F38"/>
    <w:rsid w:val="00516043"/>
    <w:rsid w:val="0051611C"/>
    <w:rsid w:val="0051643D"/>
    <w:rsid w:val="0051670A"/>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1E73"/>
    <w:rsid w:val="005420ED"/>
    <w:rsid w:val="00542A74"/>
    <w:rsid w:val="0054307E"/>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6DD"/>
    <w:rsid w:val="0058123E"/>
    <w:rsid w:val="0058125F"/>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918"/>
    <w:rsid w:val="005A74E8"/>
    <w:rsid w:val="005A76DE"/>
    <w:rsid w:val="005A7B58"/>
    <w:rsid w:val="005A7BFB"/>
    <w:rsid w:val="005B0449"/>
    <w:rsid w:val="005B0462"/>
    <w:rsid w:val="005B0749"/>
    <w:rsid w:val="005B19E4"/>
    <w:rsid w:val="005B1D8D"/>
    <w:rsid w:val="005B24C3"/>
    <w:rsid w:val="005B24F8"/>
    <w:rsid w:val="005B2A1D"/>
    <w:rsid w:val="005B2C82"/>
    <w:rsid w:val="005B2D9B"/>
    <w:rsid w:val="005B2FD0"/>
    <w:rsid w:val="005B34A6"/>
    <w:rsid w:val="005B383F"/>
    <w:rsid w:val="005B3D70"/>
    <w:rsid w:val="005B3F6E"/>
    <w:rsid w:val="005B46C1"/>
    <w:rsid w:val="005B484F"/>
    <w:rsid w:val="005B537C"/>
    <w:rsid w:val="005B5793"/>
    <w:rsid w:val="005B5BC1"/>
    <w:rsid w:val="005B5ED5"/>
    <w:rsid w:val="005B6B89"/>
    <w:rsid w:val="005B7A2B"/>
    <w:rsid w:val="005B7A4C"/>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8C5"/>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DC2"/>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1D89"/>
    <w:rsid w:val="005F2443"/>
    <w:rsid w:val="005F2C28"/>
    <w:rsid w:val="005F2D7B"/>
    <w:rsid w:val="005F348F"/>
    <w:rsid w:val="005F35B9"/>
    <w:rsid w:val="005F3681"/>
    <w:rsid w:val="005F3DEF"/>
    <w:rsid w:val="005F3FEB"/>
    <w:rsid w:val="005F4680"/>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8C5"/>
    <w:rsid w:val="00600EA7"/>
    <w:rsid w:val="00601042"/>
    <w:rsid w:val="006015A1"/>
    <w:rsid w:val="006015E1"/>
    <w:rsid w:val="00601773"/>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C0"/>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310"/>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380"/>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EA0"/>
    <w:rsid w:val="00673145"/>
    <w:rsid w:val="00673538"/>
    <w:rsid w:val="00673AFB"/>
    <w:rsid w:val="00675234"/>
    <w:rsid w:val="006752D5"/>
    <w:rsid w:val="00675AFC"/>
    <w:rsid w:val="00676607"/>
    <w:rsid w:val="00677092"/>
    <w:rsid w:val="006773B6"/>
    <w:rsid w:val="0067764D"/>
    <w:rsid w:val="00677704"/>
    <w:rsid w:val="00680179"/>
    <w:rsid w:val="00680281"/>
    <w:rsid w:val="00680777"/>
    <w:rsid w:val="00680A28"/>
    <w:rsid w:val="00681B90"/>
    <w:rsid w:val="00681CDE"/>
    <w:rsid w:val="00681E77"/>
    <w:rsid w:val="006824FC"/>
    <w:rsid w:val="00682B25"/>
    <w:rsid w:val="00683104"/>
    <w:rsid w:val="006831DB"/>
    <w:rsid w:val="006837D6"/>
    <w:rsid w:val="00683A19"/>
    <w:rsid w:val="006843CD"/>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6FBD"/>
    <w:rsid w:val="006C71E1"/>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FCC"/>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762"/>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721"/>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0B3E"/>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A70"/>
    <w:rsid w:val="007422EF"/>
    <w:rsid w:val="00742B71"/>
    <w:rsid w:val="00742F8F"/>
    <w:rsid w:val="00743205"/>
    <w:rsid w:val="00743F5F"/>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96B"/>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76A"/>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593"/>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0AEF"/>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D7ECF"/>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0E7"/>
    <w:rsid w:val="007E625C"/>
    <w:rsid w:val="007E6857"/>
    <w:rsid w:val="007E6DF7"/>
    <w:rsid w:val="007E7010"/>
    <w:rsid w:val="007E7231"/>
    <w:rsid w:val="007E74B4"/>
    <w:rsid w:val="007F0164"/>
    <w:rsid w:val="007F01A0"/>
    <w:rsid w:val="007F0B05"/>
    <w:rsid w:val="007F11EC"/>
    <w:rsid w:val="007F1543"/>
    <w:rsid w:val="007F1600"/>
    <w:rsid w:val="007F16AB"/>
    <w:rsid w:val="007F191D"/>
    <w:rsid w:val="007F1A0D"/>
    <w:rsid w:val="007F1B2E"/>
    <w:rsid w:val="007F1B84"/>
    <w:rsid w:val="007F2173"/>
    <w:rsid w:val="007F2491"/>
    <w:rsid w:val="007F2536"/>
    <w:rsid w:val="007F3036"/>
    <w:rsid w:val="007F31A0"/>
    <w:rsid w:val="007F34C7"/>
    <w:rsid w:val="007F366E"/>
    <w:rsid w:val="007F39A3"/>
    <w:rsid w:val="007F470B"/>
    <w:rsid w:val="007F47E7"/>
    <w:rsid w:val="007F4F75"/>
    <w:rsid w:val="007F5E66"/>
    <w:rsid w:val="007F6402"/>
    <w:rsid w:val="007F6C4A"/>
    <w:rsid w:val="007F6C5E"/>
    <w:rsid w:val="007F70F3"/>
    <w:rsid w:val="007F725B"/>
    <w:rsid w:val="007F79F3"/>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FA9"/>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AC6"/>
    <w:rsid w:val="00841D69"/>
    <w:rsid w:val="00841F13"/>
    <w:rsid w:val="00841F69"/>
    <w:rsid w:val="0084238E"/>
    <w:rsid w:val="008429BA"/>
    <w:rsid w:val="00843023"/>
    <w:rsid w:val="00843772"/>
    <w:rsid w:val="00843AFA"/>
    <w:rsid w:val="00844951"/>
    <w:rsid w:val="00845944"/>
    <w:rsid w:val="00845AD5"/>
    <w:rsid w:val="008466FA"/>
    <w:rsid w:val="00846788"/>
    <w:rsid w:val="00847068"/>
    <w:rsid w:val="008475C6"/>
    <w:rsid w:val="00847D3E"/>
    <w:rsid w:val="00847E2A"/>
    <w:rsid w:val="00850238"/>
    <w:rsid w:val="008505E9"/>
    <w:rsid w:val="00850F47"/>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B0F"/>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13E"/>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866"/>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2D4"/>
    <w:rsid w:val="008D2300"/>
    <w:rsid w:val="008D267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4EFB"/>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660"/>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B6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A0D"/>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960"/>
    <w:rsid w:val="00986CE1"/>
    <w:rsid w:val="00986F95"/>
    <w:rsid w:val="00986FE3"/>
    <w:rsid w:val="00987DE7"/>
    <w:rsid w:val="00987DF1"/>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DDC"/>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42"/>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8D"/>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24D8"/>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392"/>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56F"/>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707"/>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979"/>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39F"/>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2FEF"/>
    <w:rsid w:val="00A83F3F"/>
    <w:rsid w:val="00A84003"/>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555"/>
    <w:rsid w:val="00A92611"/>
    <w:rsid w:val="00A927EB"/>
    <w:rsid w:val="00A92C7B"/>
    <w:rsid w:val="00A933EB"/>
    <w:rsid w:val="00A934E0"/>
    <w:rsid w:val="00A93C5D"/>
    <w:rsid w:val="00A940CF"/>
    <w:rsid w:val="00A94866"/>
    <w:rsid w:val="00A9488B"/>
    <w:rsid w:val="00A94AAE"/>
    <w:rsid w:val="00A94AE2"/>
    <w:rsid w:val="00A95111"/>
    <w:rsid w:val="00A95903"/>
    <w:rsid w:val="00A95DDA"/>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ABF"/>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184"/>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97"/>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0E7A"/>
    <w:rsid w:val="00B012CF"/>
    <w:rsid w:val="00B015FC"/>
    <w:rsid w:val="00B01A92"/>
    <w:rsid w:val="00B01C30"/>
    <w:rsid w:val="00B01D26"/>
    <w:rsid w:val="00B02350"/>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B9"/>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446"/>
    <w:rsid w:val="00B44939"/>
    <w:rsid w:val="00B44942"/>
    <w:rsid w:val="00B44C07"/>
    <w:rsid w:val="00B44DAE"/>
    <w:rsid w:val="00B45DFC"/>
    <w:rsid w:val="00B4694C"/>
    <w:rsid w:val="00B4698A"/>
    <w:rsid w:val="00B46BD1"/>
    <w:rsid w:val="00B46C90"/>
    <w:rsid w:val="00B47415"/>
    <w:rsid w:val="00B474DD"/>
    <w:rsid w:val="00B47535"/>
    <w:rsid w:val="00B47790"/>
    <w:rsid w:val="00B477F1"/>
    <w:rsid w:val="00B4792F"/>
    <w:rsid w:val="00B47C05"/>
    <w:rsid w:val="00B50118"/>
    <w:rsid w:val="00B50760"/>
    <w:rsid w:val="00B51620"/>
    <w:rsid w:val="00B5221E"/>
    <w:rsid w:val="00B522AC"/>
    <w:rsid w:val="00B52729"/>
    <w:rsid w:val="00B5293B"/>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B45"/>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3CE"/>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14A"/>
    <w:rsid w:val="00BC50EA"/>
    <w:rsid w:val="00BC512A"/>
    <w:rsid w:val="00BC5391"/>
    <w:rsid w:val="00BC60FF"/>
    <w:rsid w:val="00BC62A4"/>
    <w:rsid w:val="00BC696D"/>
    <w:rsid w:val="00BC7052"/>
    <w:rsid w:val="00BC759E"/>
    <w:rsid w:val="00BC7F89"/>
    <w:rsid w:val="00BD00CF"/>
    <w:rsid w:val="00BD0654"/>
    <w:rsid w:val="00BD083F"/>
    <w:rsid w:val="00BD0C86"/>
    <w:rsid w:val="00BD1621"/>
    <w:rsid w:val="00BD22D9"/>
    <w:rsid w:val="00BD2B9A"/>
    <w:rsid w:val="00BD2D5E"/>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25E"/>
    <w:rsid w:val="00BE180E"/>
    <w:rsid w:val="00BE1858"/>
    <w:rsid w:val="00BE190E"/>
    <w:rsid w:val="00BE2540"/>
    <w:rsid w:val="00BE2699"/>
    <w:rsid w:val="00BE26FA"/>
    <w:rsid w:val="00BE2D5F"/>
    <w:rsid w:val="00BE3B73"/>
    <w:rsid w:val="00BE3C0E"/>
    <w:rsid w:val="00BE4297"/>
    <w:rsid w:val="00BE45F9"/>
    <w:rsid w:val="00BE472F"/>
    <w:rsid w:val="00BE4BB1"/>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B5B"/>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207"/>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980"/>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0A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6D"/>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0FA"/>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97323"/>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742"/>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34"/>
    <w:rsid w:val="00CD2536"/>
    <w:rsid w:val="00CD28BB"/>
    <w:rsid w:val="00CD2D93"/>
    <w:rsid w:val="00CD300A"/>
    <w:rsid w:val="00CD338F"/>
    <w:rsid w:val="00CD3C57"/>
    <w:rsid w:val="00CD41CC"/>
    <w:rsid w:val="00CD46EA"/>
    <w:rsid w:val="00CD483E"/>
    <w:rsid w:val="00CD4A66"/>
    <w:rsid w:val="00CD5395"/>
    <w:rsid w:val="00CD5760"/>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2ED6"/>
    <w:rsid w:val="00D134FE"/>
    <w:rsid w:val="00D137B6"/>
    <w:rsid w:val="00D140D3"/>
    <w:rsid w:val="00D14BB3"/>
    <w:rsid w:val="00D1501C"/>
    <w:rsid w:val="00D1581F"/>
    <w:rsid w:val="00D159D2"/>
    <w:rsid w:val="00D15FB8"/>
    <w:rsid w:val="00D1609F"/>
    <w:rsid w:val="00D16279"/>
    <w:rsid w:val="00D167DB"/>
    <w:rsid w:val="00D16BD4"/>
    <w:rsid w:val="00D16DD2"/>
    <w:rsid w:val="00D17273"/>
    <w:rsid w:val="00D1737C"/>
    <w:rsid w:val="00D174EE"/>
    <w:rsid w:val="00D17945"/>
    <w:rsid w:val="00D17972"/>
    <w:rsid w:val="00D17BEC"/>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1E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4D7"/>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C0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64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BCF"/>
    <w:rsid w:val="00DD0E98"/>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4C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755"/>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C81"/>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54"/>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DD5"/>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834"/>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A00"/>
    <w:rsid w:val="00E74111"/>
    <w:rsid w:val="00E745C0"/>
    <w:rsid w:val="00E75068"/>
    <w:rsid w:val="00E75305"/>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A8D"/>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54A"/>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9BD"/>
    <w:rsid w:val="00EA4B5C"/>
    <w:rsid w:val="00EA4E23"/>
    <w:rsid w:val="00EA5129"/>
    <w:rsid w:val="00EA526A"/>
    <w:rsid w:val="00EA56A6"/>
    <w:rsid w:val="00EA5A6C"/>
    <w:rsid w:val="00EA5E3C"/>
    <w:rsid w:val="00EA5ECD"/>
    <w:rsid w:val="00EA631A"/>
    <w:rsid w:val="00EA6573"/>
    <w:rsid w:val="00EA6A18"/>
    <w:rsid w:val="00EA6CCE"/>
    <w:rsid w:val="00EA6D1E"/>
    <w:rsid w:val="00EA6E8F"/>
    <w:rsid w:val="00EA6F5B"/>
    <w:rsid w:val="00EA7102"/>
    <w:rsid w:val="00EA76DD"/>
    <w:rsid w:val="00EA7BC6"/>
    <w:rsid w:val="00EA7C17"/>
    <w:rsid w:val="00EA7DDC"/>
    <w:rsid w:val="00EA7DE9"/>
    <w:rsid w:val="00EB01C2"/>
    <w:rsid w:val="00EB03BA"/>
    <w:rsid w:val="00EB0868"/>
    <w:rsid w:val="00EB09F1"/>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BD2"/>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6B"/>
    <w:rsid w:val="00F272C0"/>
    <w:rsid w:val="00F27304"/>
    <w:rsid w:val="00F27548"/>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5A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B4E"/>
    <w:rsid w:val="00F67417"/>
    <w:rsid w:val="00F67688"/>
    <w:rsid w:val="00F678A1"/>
    <w:rsid w:val="00F701DB"/>
    <w:rsid w:val="00F71B90"/>
    <w:rsid w:val="00F7215F"/>
    <w:rsid w:val="00F72973"/>
    <w:rsid w:val="00F73B04"/>
    <w:rsid w:val="00F73BFB"/>
    <w:rsid w:val="00F7427B"/>
    <w:rsid w:val="00F74594"/>
    <w:rsid w:val="00F7475B"/>
    <w:rsid w:val="00F74F71"/>
    <w:rsid w:val="00F7531C"/>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653"/>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9F"/>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821"/>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0F9"/>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845"/>
    <w:rsid w:val="00FD2A30"/>
    <w:rsid w:val="00FD34DC"/>
    <w:rsid w:val="00FD4643"/>
    <w:rsid w:val="00FD46C9"/>
    <w:rsid w:val="00FD4D74"/>
    <w:rsid w:val="00FD51C2"/>
    <w:rsid w:val="00FD53CF"/>
    <w:rsid w:val="00FD5481"/>
    <w:rsid w:val="00FD64F1"/>
    <w:rsid w:val="00FD6707"/>
    <w:rsid w:val="00FD67F6"/>
    <w:rsid w:val="00FD6EE2"/>
    <w:rsid w:val="00FD6FC4"/>
    <w:rsid w:val="00FD721C"/>
    <w:rsid w:val="00FD79BE"/>
    <w:rsid w:val="00FD7C1D"/>
    <w:rsid w:val="00FD7C41"/>
    <w:rsid w:val="00FE0385"/>
    <w:rsid w:val="00FE07A7"/>
    <w:rsid w:val="00FE0D27"/>
    <w:rsid w:val="00FE0E16"/>
    <w:rsid w:val="00FE142D"/>
    <w:rsid w:val="00FE16AA"/>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828"/>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083E46"/>
    <w:rsid w:val="05A71347"/>
    <w:rsid w:val="060CDC08"/>
    <w:rsid w:val="060E2D21"/>
    <w:rsid w:val="0649C5AA"/>
    <w:rsid w:val="065ADC3F"/>
    <w:rsid w:val="06C3EF7F"/>
    <w:rsid w:val="08035F50"/>
    <w:rsid w:val="0850B3D2"/>
    <w:rsid w:val="08C7CD04"/>
    <w:rsid w:val="09003E87"/>
    <w:rsid w:val="0989104F"/>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660490"/>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DF1A74"/>
    <w:rsid w:val="20FEFD16"/>
    <w:rsid w:val="21C7BE9E"/>
    <w:rsid w:val="21F3408E"/>
    <w:rsid w:val="226A615D"/>
    <w:rsid w:val="23346773"/>
    <w:rsid w:val="23669F6D"/>
    <w:rsid w:val="23E073E7"/>
    <w:rsid w:val="24330821"/>
    <w:rsid w:val="246EF8E0"/>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DDEAAC"/>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65C8929"/>
    <w:rsid w:val="47B5E9D7"/>
    <w:rsid w:val="4991D5A1"/>
    <w:rsid w:val="4C0A131D"/>
    <w:rsid w:val="4C831C77"/>
    <w:rsid w:val="4CC77BEE"/>
    <w:rsid w:val="4D4E2759"/>
    <w:rsid w:val="4E0A803B"/>
    <w:rsid w:val="4E3B5DE1"/>
    <w:rsid w:val="4E885B9B"/>
    <w:rsid w:val="4EA80E2B"/>
    <w:rsid w:val="4FBB668E"/>
    <w:rsid w:val="50174AE5"/>
    <w:rsid w:val="5021942D"/>
    <w:rsid w:val="5040479D"/>
    <w:rsid w:val="50CC865C"/>
    <w:rsid w:val="5129A827"/>
    <w:rsid w:val="51AD3C93"/>
    <w:rsid w:val="5244F9D5"/>
    <w:rsid w:val="52538494"/>
    <w:rsid w:val="53052ADD"/>
    <w:rsid w:val="538C0006"/>
    <w:rsid w:val="539B6563"/>
    <w:rsid w:val="53E4F84D"/>
    <w:rsid w:val="541E0058"/>
    <w:rsid w:val="54A44937"/>
    <w:rsid w:val="54AABF59"/>
    <w:rsid w:val="54B1DF12"/>
    <w:rsid w:val="550AC827"/>
    <w:rsid w:val="55C51E6C"/>
    <w:rsid w:val="5618FB19"/>
    <w:rsid w:val="561C5DFF"/>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CA9B2B"/>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BC861ED"/>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E4783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403E3-FAB1-478D-9FBC-8A48BAD9A553}">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4473</Words>
  <Characters>32522</Characters>
  <Application>Microsoft Office Word</Application>
  <DocSecurity>0</DocSecurity>
  <Lines>691</Lines>
  <Paragraphs>298</Paragraphs>
  <ScaleCrop>false</ScaleCrop>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Banys</dc:creator>
  <cp:keywords/>
  <dc:description/>
  <cp:lastModifiedBy>Elžbieta Taločkaitė</cp:lastModifiedBy>
  <cp:revision>22</cp:revision>
  <cp:lastPrinted>2025-03-02T11:45:00Z</cp:lastPrinted>
  <dcterms:created xsi:type="dcterms:W3CDTF">2026-03-09T06:50:00Z</dcterms:created>
  <dcterms:modified xsi:type="dcterms:W3CDTF">2026-04-13T08:44:00Z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