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EBE1" w14:textId="77777777" w:rsidR="00E6633C" w:rsidRDefault="00E6633C" w:rsidP="00E6633C">
      <w:pPr>
        <w:spacing w:line="300" w:lineRule="atLeast"/>
        <w:jc w:val="both"/>
        <w:rPr>
          <w:b/>
          <w:bCs/>
          <w:color w:val="000000"/>
          <w:lang w:val="lt-LT"/>
        </w:rPr>
      </w:pPr>
    </w:p>
    <w:p w14:paraId="6271E2A6" w14:textId="77777777" w:rsidR="00E6633C" w:rsidRDefault="00E6633C" w:rsidP="00E6633C">
      <w:pPr>
        <w:spacing w:line="300" w:lineRule="atLeast"/>
        <w:jc w:val="both"/>
        <w:rPr>
          <w:b/>
          <w:bCs/>
          <w:color w:val="000000"/>
          <w:lang w:val="lt-LT"/>
        </w:rPr>
      </w:pPr>
    </w:p>
    <w:p w14:paraId="320EACA1" w14:textId="7652D2E7" w:rsidR="00E6633C" w:rsidRPr="00E6633C" w:rsidRDefault="00E6633C" w:rsidP="00E6633C">
      <w:pPr>
        <w:spacing w:line="300" w:lineRule="atLeast"/>
        <w:jc w:val="both"/>
        <w:rPr>
          <w:b/>
          <w:bCs/>
          <w:color w:val="000000"/>
          <w:lang w:val="lt-LT"/>
        </w:rPr>
      </w:pPr>
      <w:r w:rsidRPr="00E6633C">
        <w:rPr>
          <w:b/>
          <w:bCs/>
          <w:color w:val="000000"/>
          <w:lang w:val="lt-LT"/>
        </w:rPr>
        <w:t>DĖL ATSAKYMO Į KLAUSIMUS</w:t>
      </w:r>
    </w:p>
    <w:p w14:paraId="78016DB5" w14:textId="77777777" w:rsidR="00E6633C" w:rsidRPr="00E6633C" w:rsidRDefault="00E6633C" w:rsidP="00E6633C">
      <w:pPr>
        <w:spacing w:line="300" w:lineRule="atLeast"/>
        <w:jc w:val="both"/>
        <w:rPr>
          <w:color w:val="000000"/>
          <w:lang w:val="lt-LT"/>
        </w:rPr>
      </w:pPr>
    </w:p>
    <w:p w14:paraId="2B5FF450" w14:textId="77777777" w:rsidR="00E6633C" w:rsidRDefault="00E6633C" w:rsidP="00E6633C">
      <w:pPr>
        <w:spacing w:line="300" w:lineRule="atLeast"/>
        <w:jc w:val="both"/>
        <w:rPr>
          <w:color w:val="000000"/>
          <w:lang w:val="lt-LT"/>
        </w:rPr>
      </w:pPr>
    </w:p>
    <w:p w14:paraId="0660E77B" w14:textId="4D7562E6" w:rsidR="00E6633C" w:rsidRPr="00E6633C" w:rsidRDefault="00E6633C" w:rsidP="00E6633C">
      <w:pPr>
        <w:spacing w:line="300" w:lineRule="atLeast"/>
        <w:ind w:firstLine="720"/>
        <w:jc w:val="both"/>
        <w:rPr>
          <w:color w:val="000000"/>
          <w:lang w:val="lt-LT"/>
        </w:rPr>
      </w:pPr>
      <w:r w:rsidRPr="00E6633C">
        <w:rPr>
          <w:color w:val="000000"/>
          <w:lang w:val="lt-LT"/>
        </w:rPr>
        <w:t>Viešoji įstaiga CPO LT, vykdydama viešąjį pirkimą atviro konkurso būdu (tarptautinis pirkimas) „LIETUVOS PIRMININKAVIMO EUROPOS SĄJUNGOS TARYBAI AUKŠTO LYGMENS SUSITIKIMŲ LAIKINŲJŲ DARBUOTOJŲ ATRANKOS ORGANIZAVIMO IR ĮDARBINIMO PASLAUGOS</w:t>
      </w:r>
      <w:r w:rsidRPr="00E6633C">
        <w:rPr>
          <w:lang w:val="lt-LT"/>
        </w:rPr>
        <w:t>”, CVP IS</w:t>
      </w:r>
      <w:r w:rsidRPr="00E6633C">
        <w:rPr>
          <w:rFonts w:eastAsia="Times New Roman"/>
          <w:lang w:val="lt-LT"/>
        </w:rPr>
        <w:t xml:space="preserve"> ID </w:t>
      </w:r>
      <w:r w:rsidRPr="00E6633C">
        <w:rPr>
          <w:lang w:val="lt-LT"/>
        </w:rPr>
        <w:t>6920671</w:t>
      </w:r>
      <w:r w:rsidRPr="00E6633C">
        <w:rPr>
          <w:color w:val="000000"/>
          <w:lang w:val="lt-LT"/>
        </w:rPr>
        <w:t xml:space="preserve">, gavo suinteresuoto tiekėjo klausimų. </w:t>
      </w:r>
    </w:p>
    <w:p w14:paraId="4E9D03CB" w14:textId="77777777" w:rsidR="00E6633C" w:rsidRPr="00E6633C" w:rsidRDefault="00E6633C" w:rsidP="00E6633C">
      <w:pPr>
        <w:ind w:firstLine="851"/>
        <w:jc w:val="both"/>
        <w:rPr>
          <w:lang w:val="lt-LT"/>
        </w:rPr>
      </w:pPr>
      <w:r w:rsidRPr="00E6633C">
        <w:rPr>
          <w:lang w:val="lt-LT" w:eastAsia="en-GB"/>
        </w:rPr>
        <w:t xml:space="preserve">Vadovaudamiesi Lietuvos Respublikos viešųjų pirkimų įstatymo 36 straipsnio 5 dalimi </w:t>
      </w:r>
      <w:bookmarkStart w:id="0" w:name="_Hlk98232754"/>
      <w:r w:rsidRPr="00E6633C">
        <w:rPr>
          <w:lang w:val="lt-LT" w:eastAsia="en-GB"/>
        </w:rPr>
        <w:t>bei Bendrųjų pirkimo sąlygų 5.2 pun</w:t>
      </w:r>
      <w:bookmarkEnd w:id="0"/>
      <w:r w:rsidRPr="00E6633C">
        <w:rPr>
          <w:lang w:val="lt-LT" w:eastAsia="en-GB"/>
        </w:rPr>
        <w:t>ktu,</w:t>
      </w:r>
      <w:r w:rsidRPr="00E6633C">
        <w:rPr>
          <w:lang w:val="lt-LT"/>
        </w:rPr>
        <w:t xml:space="preserve"> teikiame atsakymus į klausimus:</w:t>
      </w:r>
    </w:p>
    <w:p w14:paraId="78A75FBB" w14:textId="77777777" w:rsidR="00E6633C" w:rsidRPr="00E6633C" w:rsidRDefault="00E6633C" w:rsidP="00E6633C">
      <w:pPr>
        <w:rPr>
          <w:lang w:val="lt-LT"/>
        </w:rPr>
      </w:pPr>
    </w:p>
    <w:tbl>
      <w:tblPr>
        <w:tblStyle w:val="TableGrid"/>
        <w:tblW w:w="10440" w:type="dxa"/>
        <w:tblInd w:w="-365" w:type="dxa"/>
        <w:tblLook w:val="04A0" w:firstRow="1" w:lastRow="0" w:firstColumn="1" w:lastColumn="0" w:noHBand="0" w:noVBand="1"/>
      </w:tblPr>
      <w:tblGrid>
        <w:gridCol w:w="570"/>
        <w:gridCol w:w="4650"/>
        <w:gridCol w:w="5220"/>
      </w:tblGrid>
      <w:tr w:rsidR="00E6633C" w:rsidRPr="00E6633C" w14:paraId="7B5A94A7" w14:textId="77777777" w:rsidTr="00E6633C">
        <w:tc>
          <w:tcPr>
            <w:tcW w:w="570" w:type="dxa"/>
            <w:vAlign w:val="center"/>
          </w:tcPr>
          <w:p w14:paraId="481072BB" w14:textId="77777777" w:rsidR="00E6633C" w:rsidRPr="00E6633C" w:rsidRDefault="00E6633C" w:rsidP="00680BE3">
            <w:pPr>
              <w:rPr>
                <w:b/>
                <w:bCs/>
                <w:i/>
                <w:iCs/>
                <w:sz w:val="24"/>
                <w:szCs w:val="24"/>
              </w:rPr>
            </w:pPr>
            <w:r w:rsidRPr="00E6633C">
              <w:rPr>
                <w:b/>
                <w:bCs/>
                <w:i/>
                <w:iCs/>
                <w:sz w:val="24"/>
                <w:szCs w:val="24"/>
              </w:rPr>
              <w:t>Eil. Nr.</w:t>
            </w:r>
          </w:p>
        </w:tc>
        <w:tc>
          <w:tcPr>
            <w:tcW w:w="4650" w:type="dxa"/>
            <w:vAlign w:val="center"/>
          </w:tcPr>
          <w:p w14:paraId="3A0E5C0E" w14:textId="77777777" w:rsidR="00E6633C" w:rsidRPr="00E6633C" w:rsidRDefault="00E6633C" w:rsidP="00680BE3">
            <w:pPr>
              <w:jc w:val="center"/>
              <w:rPr>
                <w:b/>
                <w:bCs/>
                <w:i/>
                <w:iCs/>
                <w:sz w:val="24"/>
                <w:szCs w:val="24"/>
              </w:rPr>
            </w:pPr>
            <w:r w:rsidRPr="00E6633C">
              <w:rPr>
                <w:b/>
                <w:bCs/>
                <w:i/>
                <w:iCs/>
                <w:sz w:val="24"/>
                <w:szCs w:val="24"/>
              </w:rPr>
              <w:t>KLAUSIMAS</w:t>
            </w:r>
          </w:p>
        </w:tc>
        <w:tc>
          <w:tcPr>
            <w:tcW w:w="5220" w:type="dxa"/>
            <w:vAlign w:val="center"/>
          </w:tcPr>
          <w:p w14:paraId="53EE630C" w14:textId="77777777" w:rsidR="00E6633C" w:rsidRPr="00E6633C" w:rsidRDefault="00E6633C" w:rsidP="00680BE3">
            <w:pPr>
              <w:jc w:val="both"/>
              <w:rPr>
                <w:b/>
                <w:bCs/>
                <w:i/>
                <w:iCs/>
                <w:sz w:val="24"/>
                <w:szCs w:val="24"/>
              </w:rPr>
            </w:pPr>
            <w:r w:rsidRPr="00E6633C">
              <w:rPr>
                <w:b/>
                <w:bCs/>
                <w:i/>
                <w:iCs/>
                <w:sz w:val="24"/>
                <w:szCs w:val="24"/>
              </w:rPr>
              <w:t>ATSAKYMAS</w:t>
            </w:r>
          </w:p>
        </w:tc>
      </w:tr>
      <w:tr w:rsidR="00E6633C" w:rsidRPr="00E6633C" w14:paraId="29D125E3" w14:textId="77777777" w:rsidTr="00E6633C">
        <w:trPr>
          <w:trHeight w:val="2177"/>
        </w:trPr>
        <w:tc>
          <w:tcPr>
            <w:tcW w:w="570" w:type="dxa"/>
          </w:tcPr>
          <w:p w14:paraId="5D05CDF1" w14:textId="77777777" w:rsidR="00E6633C" w:rsidRPr="00E6633C" w:rsidRDefault="00E6633C" w:rsidP="00680BE3">
            <w:pPr>
              <w:jc w:val="both"/>
              <w:rPr>
                <w:rFonts w:eastAsia="Times New Roman"/>
                <w:sz w:val="24"/>
                <w:szCs w:val="24"/>
                <w:lang w:eastAsia="lt-LT"/>
              </w:rPr>
            </w:pPr>
            <w:r w:rsidRPr="00E6633C">
              <w:rPr>
                <w:rFonts w:eastAsia="Times New Roman"/>
                <w:sz w:val="24"/>
                <w:szCs w:val="24"/>
                <w:lang w:eastAsia="lt-LT"/>
              </w:rPr>
              <w:t>1.</w:t>
            </w:r>
          </w:p>
        </w:tc>
        <w:tc>
          <w:tcPr>
            <w:tcW w:w="4650" w:type="dxa"/>
          </w:tcPr>
          <w:p w14:paraId="42BA7962" w14:textId="77777777" w:rsidR="00E6633C" w:rsidRPr="00E6633C" w:rsidRDefault="00E6633C" w:rsidP="00680BE3">
            <w:pPr>
              <w:spacing w:after="160"/>
              <w:jc w:val="both"/>
              <w:rPr>
                <w:rFonts w:eastAsia="Calibri"/>
                <w:bCs/>
                <w:sz w:val="24"/>
                <w:szCs w:val="24"/>
              </w:rPr>
            </w:pPr>
            <w:r w:rsidRPr="00E6633C">
              <w:rPr>
                <w:rFonts w:eastAsia="Calibri"/>
                <w:bCs/>
                <w:sz w:val="24"/>
                <w:szCs w:val="24"/>
              </w:rPr>
              <w:t>Pirkimo dokumentuose numatyta galimybė taikyti baudas už aplinkosauginių ir (arba) socialinių kriterijų nesilaikymą, tačiau konkretūs kriterijai nėra detalizuoti.</w:t>
            </w:r>
          </w:p>
          <w:p w14:paraId="06CF6E7C" w14:textId="77777777" w:rsidR="00E6633C" w:rsidRPr="00E6633C" w:rsidRDefault="00E6633C" w:rsidP="00680BE3">
            <w:pPr>
              <w:spacing w:after="160"/>
              <w:jc w:val="both"/>
              <w:rPr>
                <w:rFonts w:eastAsia="Calibri"/>
                <w:bCs/>
                <w:sz w:val="24"/>
                <w:szCs w:val="24"/>
              </w:rPr>
            </w:pPr>
            <w:r w:rsidRPr="00E6633C">
              <w:rPr>
                <w:rFonts w:eastAsia="Calibri"/>
                <w:bCs/>
                <w:sz w:val="24"/>
                <w:szCs w:val="24"/>
              </w:rPr>
              <w:t>Prašome patikslinti, kokie konkretūs aplinkosauginiai ir (arba) socialiniai kriterijai bus taikomi vertinant jų laikymąsi.</w:t>
            </w:r>
          </w:p>
        </w:tc>
        <w:tc>
          <w:tcPr>
            <w:tcW w:w="5220" w:type="dxa"/>
          </w:tcPr>
          <w:p w14:paraId="5ECE4244" w14:textId="77777777" w:rsidR="00E6633C" w:rsidRPr="00E6633C" w:rsidRDefault="00E6633C" w:rsidP="00680BE3">
            <w:pPr>
              <w:jc w:val="both"/>
              <w:rPr>
                <w:sz w:val="24"/>
                <w:szCs w:val="24"/>
              </w:rPr>
            </w:pPr>
            <w:r w:rsidRPr="00E6633C">
              <w:rPr>
                <w:sz w:val="24"/>
                <w:szCs w:val="24"/>
              </w:rPr>
              <w:t>Specialiųjų pirkimo sąlygų 12 priedo „Sutarties Specialiosios sąlygos” 13.1 punkte nurodyta, kad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4.4.4.1 papunkčiu: Sutartis ir jos vykdymo metu rengiama dokumentacija, Paslaugų ataskaitos, Paslaugų perdavimo–priėmimo aktai Pirkėjui turi būti pateikti tik elektroniniu formatu, o dokumentacija, kuri turi būti pasirašoma, ir Paslaugų perdavimo–priėmimo aktai turi būti pasirašomi elektroniniu parašu.</w:t>
            </w:r>
          </w:p>
        </w:tc>
      </w:tr>
      <w:tr w:rsidR="00E6633C" w:rsidRPr="00E6633C" w14:paraId="41435062" w14:textId="77777777" w:rsidTr="00E6633C">
        <w:trPr>
          <w:trHeight w:val="1097"/>
        </w:trPr>
        <w:tc>
          <w:tcPr>
            <w:tcW w:w="570" w:type="dxa"/>
          </w:tcPr>
          <w:p w14:paraId="57A7409E" w14:textId="77777777" w:rsidR="00E6633C" w:rsidRPr="00E6633C" w:rsidRDefault="00E6633C" w:rsidP="00680BE3">
            <w:pPr>
              <w:jc w:val="both"/>
              <w:rPr>
                <w:rFonts w:eastAsia="Times New Roman"/>
                <w:sz w:val="24"/>
                <w:szCs w:val="24"/>
                <w:lang w:eastAsia="lt-LT"/>
              </w:rPr>
            </w:pPr>
            <w:r w:rsidRPr="00E6633C">
              <w:rPr>
                <w:rFonts w:eastAsia="Times New Roman"/>
                <w:sz w:val="24"/>
                <w:szCs w:val="24"/>
                <w:lang w:eastAsia="lt-LT"/>
              </w:rPr>
              <w:t>2.</w:t>
            </w:r>
          </w:p>
        </w:tc>
        <w:tc>
          <w:tcPr>
            <w:tcW w:w="4650" w:type="dxa"/>
          </w:tcPr>
          <w:p w14:paraId="4666CE5B" w14:textId="77777777" w:rsidR="00E6633C" w:rsidRPr="00E6633C" w:rsidRDefault="00E6633C" w:rsidP="00680BE3">
            <w:pPr>
              <w:spacing w:after="160"/>
              <w:jc w:val="both"/>
              <w:rPr>
                <w:rFonts w:eastAsia="Calibri"/>
                <w:bCs/>
                <w:sz w:val="24"/>
                <w:szCs w:val="24"/>
              </w:rPr>
            </w:pPr>
            <w:r w:rsidRPr="00E6633C">
              <w:rPr>
                <w:rFonts w:eastAsia="Calibri"/>
                <w:bCs/>
                <w:sz w:val="24"/>
                <w:szCs w:val="24"/>
              </w:rPr>
              <w:t>Prašome patikslinti, kaip dažnai praktikoje yra taikomos baudos vykdant panašaus pobūdžio sutartis, susijusias su personalo, įskaitant laikinuosius darbuotojus, paslaugų teikimu.</w:t>
            </w:r>
          </w:p>
        </w:tc>
        <w:tc>
          <w:tcPr>
            <w:tcW w:w="5220" w:type="dxa"/>
          </w:tcPr>
          <w:p w14:paraId="7107548B" w14:textId="77777777" w:rsidR="00E6633C" w:rsidRPr="00E6633C" w:rsidRDefault="00E6633C" w:rsidP="00680BE3">
            <w:pPr>
              <w:jc w:val="both"/>
              <w:rPr>
                <w:sz w:val="24"/>
                <w:szCs w:val="24"/>
              </w:rPr>
            </w:pPr>
            <w:r w:rsidRPr="00E6633C">
              <w:rPr>
                <w:sz w:val="24"/>
                <w:szCs w:val="24"/>
              </w:rPr>
              <w:t>Tokios informacijos objektyviai įvertinti negalime. Vykdant sutartį bus laikomasi joje nustatytų sąlygų.</w:t>
            </w:r>
          </w:p>
        </w:tc>
      </w:tr>
      <w:tr w:rsidR="00E6633C" w:rsidRPr="00E6633C" w14:paraId="1E77D095" w14:textId="77777777" w:rsidTr="00E6633C">
        <w:trPr>
          <w:trHeight w:val="2042"/>
        </w:trPr>
        <w:tc>
          <w:tcPr>
            <w:tcW w:w="570" w:type="dxa"/>
          </w:tcPr>
          <w:p w14:paraId="4E6F8B0E" w14:textId="77777777" w:rsidR="00E6633C" w:rsidRPr="00E6633C" w:rsidRDefault="00E6633C" w:rsidP="00680BE3">
            <w:pPr>
              <w:jc w:val="both"/>
              <w:rPr>
                <w:rFonts w:eastAsia="Times New Roman"/>
                <w:sz w:val="24"/>
                <w:szCs w:val="24"/>
                <w:lang w:eastAsia="lt-LT"/>
              </w:rPr>
            </w:pPr>
            <w:r w:rsidRPr="00E6633C">
              <w:rPr>
                <w:rFonts w:eastAsia="Times New Roman"/>
                <w:sz w:val="24"/>
                <w:szCs w:val="24"/>
                <w:lang w:eastAsia="lt-LT"/>
              </w:rPr>
              <w:t>3.</w:t>
            </w:r>
          </w:p>
        </w:tc>
        <w:tc>
          <w:tcPr>
            <w:tcW w:w="4650" w:type="dxa"/>
          </w:tcPr>
          <w:p w14:paraId="28366E8E"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Pirkimo dokumentuose nustatytas reikalavimas užtikrinti darbuotojo pakeitimą per 4 valandas. Prašome patikslinti, ar šis reikalavimas taikomas visą parą, įskaitant nakties laiką ir ne darbo dienas.</w:t>
            </w:r>
          </w:p>
          <w:p w14:paraId="4B3C0897" w14:textId="77777777" w:rsidR="00E6633C" w:rsidRPr="00E6633C" w:rsidRDefault="00E6633C" w:rsidP="00680BE3">
            <w:pPr>
              <w:contextualSpacing/>
              <w:jc w:val="both"/>
              <w:rPr>
                <w:rFonts w:eastAsia="Calibri"/>
                <w:bCs/>
                <w:sz w:val="24"/>
                <w:szCs w:val="24"/>
              </w:rPr>
            </w:pPr>
          </w:p>
          <w:p w14:paraId="59225BE0"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Atkreipiame dėmesį, kad tokio reikalavimo užtikrinimas nakties metu ar ne darbo valandomis praktikoje yra itin sudėtingas arba tam tikrais atvejais neįgyvendinamas, ypač vertinant ribotą kvalifikuotų darbuotojų prieinamumą ir darbo teisės reikalavimus. Atsižvelgiant į tai, prašome patikslinti, ar numatomos išimtys arba kitokia šio reikalavimo taikymo tvarka ne darbo metu.</w:t>
            </w:r>
          </w:p>
        </w:tc>
        <w:tc>
          <w:tcPr>
            <w:tcW w:w="5220" w:type="dxa"/>
          </w:tcPr>
          <w:p w14:paraId="162B841C" w14:textId="77777777" w:rsidR="00E6633C" w:rsidRPr="00E6633C" w:rsidRDefault="00E6633C" w:rsidP="00680BE3">
            <w:pPr>
              <w:jc w:val="both"/>
              <w:rPr>
                <w:sz w:val="24"/>
                <w:szCs w:val="24"/>
              </w:rPr>
            </w:pPr>
            <w:r w:rsidRPr="00E6633C">
              <w:rPr>
                <w:sz w:val="24"/>
                <w:szCs w:val="24"/>
              </w:rPr>
              <w:t>Paaiškiname, kad reikalavimas užtikrinti darbuotojo pakeitimą per 4 valandas taikomas tik tuo metu, kai laikinasis darbuotojas pagal darbo grafiką turi būti darbo vietoje ir vykdyti pavestas funkcijas. Ne darbo metu šis reikalavimas netaikomas.</w:t>
            </w:r>
          </w:p>
        </w:tc>
      </w:tr>
      <w:tr w:rsidR="00E6633C" w:rsidRPr="00E6633C" w14:paraId="2E78FD93" w14:textId="77777777" w:rsidTr="00E6633C">
        <w:trPr>
          <w:trHeight w:val="2042"/>
        </w:trPr>
        <w:tc>
          <w:tcPr>
            <w:tcW w:w="570" w:type="dxa"/>
          </w:tcPr>
          <w:p w14:paraId="7589B69F" w14:textId="77777777" w:rsidR="00E6633C" w:rsidRPr="00E6633C" w:rsidRDefault="00E6633C" w:rsidP="00680BE3">
            <w:pPr>
              <w:jc w:val="both"/>
              <w:rPr>
                <w:rFonts w:eastAsia="Times New Roman"/>
                <w:sz w:val="24"/>
                <w:szCs w:val="24"/>
                <w:lang w:eastAsia="lt-LT"/>
              </w:rPr>
            </w:pPr>
            <w:r w:rsidRPr="00E6633C">
              <w:rPr>
                <w:rFonts w:eastAsia="Times New Roman"/>
                <w:sz w:val="24"/>
                <w:szCs w:val="24"/>
                <w:lang w:eastAsia="lt-LT"/>
              </w:rPr>
              <w:lastRenderedPageBreak/>
              <w:t>4.</w:t>
            </w:r>
          </w:p>
        </w:tc>
        <w:tc>
          <w:tcPr>
            <w:tcW w:w="4650" w:type="dxa"/>
          </w:tcPr>
          <w:p w14:paraId="3F2FF171"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Šiuo metu pirkimo dokumentuose nėra detalizuotas numatomas darbuotojų darbo grafikas. Prašome pateikti preliminarų darbo grafiką arba jo modelį, kuris leistų įsivertinti atitiktį Lietuvos Respublikos darbo kodekso reikalavimams.</w:t>
            </w:r>
          </w:p>
        </w:tc>
        <w:tc>
          <w:tcPr>
            <w:tcW w:w="5220" w:type="dxa"/>
          </w:tcPr>
          <w:p w14:paraId="2D4E434F" w14:textId="77777777" w:rsidR="00E6633C" w:rsidRPr="00E6633C" w:rsidRDefault="00E6633C" w:rsidP="00680BE3">
            <w:pPr>
              <w:jc w:val="both"/>
              <w:rPr>
                <w:sz w:val="24"/>
                <w:szCs w:val="24"/>
              </w:rPr>
            </w:pPr>
            <w:r w:rsidRPr="00E6633C">
              <w:rPr>
                <w:sz w:val="24"/>
                <w:szCs w:val="24"/>
              </w:rPr>
              <w:t xml:space="preserve">Šiuo metu nėra detalizuotas laikinųjų darbuotojų darbo grafikas, nes jis tiesiogiai priklauso nuo aukšto lygmens susitikimų kalendoriaus, kuris dar nėra patvirtintas. Todėl preliminaraus grafiko pateikti šiuo metu nėra galimybės. </w:t>
            </w:r>
          </w:p>
        </w:tc>
      </w:tr>
      <w:tr w:rsidR="00E6633C" w:rsidRPr="00E6633C" w14:paraId="77DC1848" w14:textId="77777777" w:rsidTr="00E6633C">
        <w:trPr>
          <w:trHeight w:val="1529"/>
        </w:trPr>
        <w:tc>
          <w:tcPr>
            <w:tcW w:w="570" w:type="dxa"/>
          </w:tcPr>
          <w:p w14:paraId="72A4BC01" w14:textId="77777777" w:rsidR="00E6633C" w:rsidRPr="00E6633C" w:rsidRDefault="00E6633C" w:rsidP="00680BE3">
            <w:pPr>
              <w:jc w:val="both"/>
              <w:rPr>
                <w:rFonts w:eastAsia="Times New Roman"/>
                <w:sz w:val="24"/>
                <w:szCs w:val="24"/>
                <w:lang w:eastAsia="lt-LT"/>
              </w:rPr>
            </w:pPr>
            <w:r w:rsidRPr="00E6633C">
              <w:rPr>
                <w:rFonts w:eastAsia="Times New Roman"/>
                <w:sz w:val="24"/>
                <w:szCs w:val="24"/>
                <w:lang w:eastAsia="lt-LT"/>
              </w:rPr>
              <w:t>5.</w:t>
            </w:r>
          </w:p>
        </w:tc>
        <w:tc>
          <w:tcPr>
            <w:tcW w:w="4650" w:type="dxa"/>
          </w:tcPr>
          <w:p w14:paraId="34CD56C5"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Prašome patikslinti, ar darbuotojų apmokymų laikas yra įskaičiuotas į numatytą maksimalų 20 000 valandų paslaugų apimtį.</w:t>
            </w:r>
          </w:p>
        </w:tc>
        <w:tc>
          <w:tcPr>
            <w:tcW w:w="5220" w:type="dxa"/>
          </w:tcPr>
          <w:p w14:paraId="44868654" w14:textId="77777777" w:rsidR="00E6633C" w:rsidRPr="00E6633C" w:rsidRDefault="00E6633C" w:rsidP="00680BE3">
            <w:pPr>
              <w:jc w:val="both"/>
              <w:rPr>
                <w:sz w:val="24"/>
                <w:szCs w:val="24"/>
              </w:rPr>
            </w:pPr>
            <w:r w:rsidRPr="00E6633C">
              <w:rPr>
                <w:sz w:val="24"/>
                <w:szCs w:val="24"/>
              </w:rPr>
              <w:t>Taip, darbuotojo apmokymų laikas įskaičiuojamas į numatytą maksimalią 20 000 valandų paslaugų apimtį, nes apmokymai laikomi laikinojo darbuotojo darbo laiku.</w:t>
            </w:r>
          </w:p>
        </w:tc>
      </w:tr>
      <w:tr w:rsidR="00E6633C" w:rsidRPr="00E6633C" w14:paraId="3AE1DB76" w14:textId="77777777" w:rsidTr="00E6633C">
        <w:trPr>
          <w:trHeight w:val="1529"/>
        </w:trPr>
        <w:tc>
          <w:tcPr>
            <w:tcW w:w="570" w:type="dxa"/>
          </w:tcPr>
          <w:p w14:paraId="519C8535" w14:textId="77777777" w:rsidR="00E6633C" w:rsidRPr="00E6633C" w:rsidRDefault="00E6633C" w:rsidP="00680BE3">
            <w:pPr>
              <w:jc w:val="both"/>
              <w:rPr>
                <w:rFonts w:eastAsia="Times New Roman"/>
                <w:sz w:val="24"/>
                <w:szCs w:val="24"/>
                <w:lang w:eastAsia="lt-LT"/>
              </w:rPr>
            </w:pPr>
            <w:r w:rsidRPr="00E6633C">
              <w:rPr>
                <w:rFonts w:eastAsia="Times New Roman"/>
                <w:sz w:val="24"/>
                <w:szCs w:val="24"/>
                <w:lang w:eastAsia="lt-LT"/>
              </w:rPr>
              <w:t>6.</w:t>
            </w:r>
          </w:p>
        </w:tc>
        <w:tc>
          <w:tcPr>
            <w:tcW w:w="4650" w:type="dxa"/>
          </w:tcPr>
          <w:p w14:paraId="7CAF1040"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Pirkimo dokumentuose numatyta, kad turi būti užtikrinamas iki 20 rezervinių darbuotojų skaičius. Prašome patikslinti:</w:t>
            </w:r>
          </w:p>
          <w:p w14:paraId="630F6AD2" w14:textId="77777777" w:rsidR="00E6633C" w:rsidRPr="00E6633C" w:rsidRDefault="00E6633C" w:rsidP="00680BE3">
            <w:pPr>
              <w:contextualSpacing/>
              <w:jc w:val="both"/>
              <w:rPr>
                <w:rFonts w:eastAsia="Calibri"/>
                <w:bCs/>
                <w:sz w:val="24"/>
                <w:szCs w:val="24"/>
              </w:rPr>
            </w:pPr>
          </w:p>
          <w:p w14:paraId="6181F8FE"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 ar šių darbuotojų budėjimo laikas yra įskaičiuotas į bendrą 20 000 valandų apimtį;</w:t>
            </w:r>
          </w:p>
          <w:p w14:paraId="523A0808"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 ar rezerviniai darbuotojai turi būti įdarbinti ir apmokamas jų budėjimo laikotarpis.</w:t>
            </w:r>
          </w:p>
          <w:p w14:paraId="1752F9FE" w14:textId="77777777" w:rsidR="00E6633C" w:rsidRPr="00E6633C" w:rsidRDefault="00E6633C" w:rsidP="00680BE3">
            <w:pPr>
              <w:contextualSpacing/>
              <w:jc w:val="both"/>
              <w:rPr>
                <w:rFonts w:eastAsia="Calibri"/>
                <w:bCs/>
                <w:sz w:val="24"/>
                <w:szCs w:val="24"/>
              </w:rPr>
            </w:pPr>
          </w:p>
          <w:p w14:paraId="654D4C01"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Atkreipiame dėmesį, kad jei budėjimo laikotarpiu darbuotojams nėra taikomos aiškios darbo laiko ir apmokėjimo sąlygos, praktiškai tampa sudėtinga užtikrinti jų realų prieinamumą ir operatyvų atvykimą.</w:t>
            </w:r>
          </w:p>
          <w:p w14:paraId="6169AE2F"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Taip pat pažymime, kad operatyvus darbuotojų įtraukimas tą pačią dieną (jei su jais iš anksto nėra sudarytos darbo sutartys) yra reikšmingai apribotas dėl darbo kodekso reikalavimų, susijusių su darbo sutarčių sudarymu prieš darbo pradžią ir išankstiniu darbo grafikų pateikimo.</w:t>
            </w:r>
          </w:p>
        </w:tc>
        <w:tc>
          <w:tcPr>
            <w:tcW w:w="5220" w:type="dxa"/>
          </w:tcPr>
          <w:p w14:paraId="2E4C2987" w14:textId="77777777" w:rsidR="00E6633C" w:rsidRPr="00E6633C" w:rsidRDefault="00E6633C" w:rsidP="00680BE3">
            <w:pPr>
              <w:jc w:val="both"/>
              <w:rPr>
                <w:sz w:val="24"/>
                <w:szCs w:val="24"/>
              </w:rPr>
            </w:pPr>
            <w:r w:rsidRPr="00E6633C">
              <w:rPr>
                <w:sz w:val="24"/>
                <w:szCs w:val="24"/>
              </w:rPr>
              <w:t>Specialiųjų pirkimo sąlygų 2 priedo „Techninė specifikacija” 4.2.2 p. nurodyta, kad paslaugų teikėjas turi užtikrinti 70 laikinųjų darbuotojų skaičių. Papildomas darbuotojų, numatytų Techninės specifikacijos 4.2.3 p.,  rezervas reikalingas tam, kad būtų užtikrintas darbuotojo (-ų) pakeitimas tais atvejais, kai I-</w:t>
            </w:r>
            <w:proofErr w:type="spellStart"/>
            <w:r w:rsidRPr="00E6633C">
              <w:rPr>
                <w:sz w:val="24"/>
                <w:szCs w:val="24"/>
              </w:rPr>
              <w:t>osios</w:t>
            </w:r>
            <w:proofErr w:type="spellEnd"/>
            <w:r w:rsidRPr="00E6633C">
              <w:rPr>
                <w:sz w:val="24"/>
                <w:szCs w:val="24"/>
              </w:rPr>
              <w:t xml:space="preserve"> grupės ryšio pareigūnai negali dirbti dėl nenumatytų aplinkybių (ligos, neatvykimo į darbą, netinkamo funkcijų atlikimo ir pan.) arba kai atsiranda padidėjęs poreikis. Šie darbuotojai būtų pasitelkiami tik pagal faktinį Perkančiosios organizacijos poreikį, apie tai raštu informuojant Paslaugų teikėją ne vėliau kaip prieš 10 darbo dienų iki aukšto lygmens susitikimo oficialios pradžios datos. Todėl rezerviniams darbuotojams budėjimo laikas neskaičiuojamas ir nėra apmokamas, nes jie savo darbo grafiką žinotų iš anksto, gavę Perkančiosios organizacijos pranešimą apie poreikį. II-</w:t>
            </w:r>
            <w:proofErr w:type="spellStart"/>
            <w:r w:rsidRPr="00E6633C">
              <w:rPr>
                <w:sz w:val="24"/>
                <w:szCs w:val="24"/>
              </w:rPr>
              <w:t>osios</w:t>
            </w:r>
            <w:proofErr w:type="spellEnd"/>
            <w:r w:rsidRPr="00E6633C">
              <w:rPr>
                <w:sz w:val="24"/>
                <w:szCs w:val="24"/>
              </w:rPr>
              <w:t xml:space="preserve"> grupės laikinieji darbuotojai turėtų būti įdarbinti ir pasitelkiami pagal Perkančiosios organizacijos poreikį.</w:t>
            </w:r>
          </w:p>
        </w:tc>
      </w:tr>
      <w:tr w:rsidR="00E6633C" w:rsidRPr="00E6633C" w14:paraId="7885AE64" w14:textId="77777777" w:rsidTr="00E6633C">
        <w:trPr>
          <w:trHeight w:val="1529"/>
        </w:trPr>
        <w:tc>
          <w:tcPr>
            <w:tcW w:w="570" w:type="dxa"/>
          </w:tcPr>
          <w:p w14:paraId="05AD1949" w14:textId="77777777" w:rsidR="00E6633C" w:rsidRPr="00E6633C" w:rsidRDefault="00E6633C" w:rsidP="00680BE3">
            <w:pPr>
              <w:jc w:val="both"/>
              <w:rPr>
                <w:rFonts w:eastAsia="Times New Roman"/>
                <w:sz w:val="24"/>
                <w:szCs w:val="24"/>
                <w:lang w:eastAsia="lt-LT"/>
              </w:rPr>
            </w:pPr>
            <w:r w:rsidRPr="00E6633C">
              <w:rPr>
                <w:rFonts w:eastAsia="Times New Roman"/>
                <w:sz w:val="24"/>
                <w:szCs w:val="24"/>
                <w:lang w:eastAsia="lt-LT"/>
              </w:rPr>
              <w:t>7.</w:t>
            </w:r>
          </w:p>
        </w:tc>
        <w:tc>
          <w:tcPr>
            <w:tcW w:w="4650" w:type="dxa"/>
          </w:tcPr>
          <w:p w14:paraId="5CAFA9B5"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Kadangi kainodarai yra svarbus darbo laiko struktūros įvertinimas, prašome patikslinti, kokia dalis darbo valandų preliminariai galėtų būti vykdoma viršvalandžių, nakties ar poilsio dienų metu.</w:t>
            </w:r>
          </w:p>
        </w:tc>
        <w:tc>
          <w:tcPr>
            <w:tcW w:w="5220" w:type="dxa"/>
          </w:tcPr>
          <w:p w14:paraId="5A0E7AB1" w14:textId="77777777" w:rsidR="00E6633C" w:rsidRPr="00E6633C" w:rsidRDefault="00E6633C" w:rsidP="00680BE3">
            <w:pPr>
              <w:jc w:val="both"/>
              <w:rPr>
                <w:sz w:val="24"/>
                <w:szCs w:val="24"/>
              </w:rPr>
            </w:pPr>
            <w:r w:rsidRPr="00E6633C">
              <w:rPr>
                <w:sz w:val="24"/>
                <w:szCs w:val="24"/>
              </w:rPr>
              <w:t xml:space="preserve">Šiuo metu nėra galimybės tiksliai įvardyti, kokia darbo valandų dalis gali tekti viršvalandžiams, nakties ar poilsio dienų darbui, nes aukšto lygmens susitikimų kalendorius dar nėra patvirtintas. </w:t>
            </w:r>
          </w:p>
        </w:tc>
      </w:tr>
      <w:tr w:rsidR="00E6633C" w:rsidRPr="00E6633C" w14:paraId="3B3D29A4" w14:textId="77777777" w:rsidTr="00E6633C">
        <w:trPr>
          <w:trHeight w:val="620"/>
        </w:trPr>
        <w:tc>
          <w:tcPr>
            <w:tcW w:w="570" w:type="dxa"/>
          </w:tcPr>
          <w:p w14:paraId="3B802738" w14:textId="77777777" w:rsidR="00E6633C" w:rsidRPr="00E6633C" w:rsidRDefault="00E6633C" w:rsidP="00680BE3">
            <w:pPr>
              <w:jc w:val="both"/>
              <w:rPr>
                <w:rFonts w:eastAsia="Times New Roman"/>
                <w:sz w:val="24"/>
                <w:szCs w:val="24"/>
                <w:lang w:eastAsia="lt-LT"/>
              </w:rPr>
            </w:pPr>
            <w:r w:rsidRPr="00E6633C">
              <w:rPr>
                <w:rFonts w:eastAsia="Times New Roman"/>
                <w:sz w:val="24"/>
                <w:szCs w:val="24"/>
                <w:lang w:eastAsia="lt-LT"/>
              </w:rPr>
              <w:t>8.</w:t>
            </w:r>
          </w:p>
        </w:tc>
        <w:tc>
          <w:tcPr>
            <w:tcW w:w="4650" w:type="dxa"/>
          </w:tcPr>
          <w:p w14:paraId="3E6D509B"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Prašome pasidalinti informacija apie ankstesnio Lietuvos pirmininkavimo metu taikytas praktikas, susijusias su kvalifikuotų specialistų (ryšio pareigūnų) atranka ir pritraukimu.</w:t>
            </w:r>
          </w:p>
        </w:tc>
        <w:tc>
          <w:tcPr>
            <w:tcW w:w="5220" w:type="dxa"/>
          </w:tcPr>
          <w:p w14:paraId="02BA2C2B" w14:textId="77777777" w:rsidR="00E6633C" w:rsidRPr="00E6633C" w:rsidRDefault="00E6633C" w:rsidP="00680BE3">
            <w:pPr>
              <w:jc w:val="both"/>
              <w:rPr>
                <w:sz w:val="24"/>
                <w:szCs w:val="24"/>
              </w:rPr>
            </w:pPr>
            <w:r w:rsidRPr="00E6633C">
              <w:rPr>
                <w:sz w:val="24"/>
                <w:szCs w:val="24"/>
              </w:rPr>
              <w:t>Perkančioji organizacija neturi dokumentuotos informacijos apie ankstesnio Lietuvos pirmininkavimo metu taikytas ryšio pareigūnų atrankos ar pritraukimo praktikas.</w:t>
            </w:r>
          </w:p>
        </w:tc>
      </w:tr>
      <w:tr w:rsidR="00E6633C" w:rsidRPr="00E6633C" w14:paraId="4F3E479B" w14:textId="77777777" w:rsidTr="00E6633C">
        <w:trPr>
          <w:trHeight w:val="1529"/>
        </w:trPr>
        <w:tc>
          <w:tcPr>
            <w:tcW w:w="570" w:type="dxa"/>
          </w:tcPr>
          <w:p w14:paraId="34733F04" w14:textId="77777777" w:rsidR="00E6633C" w:rsidRPr="00E6633C" w:rsidRDefault="00E6633C" w:rsidP="00680BE3">
            <w:pPr>
              <w:jc w:val="both"/>
              <w:rPr>
                <w:rFonts w:eastAsia="Times New Roman"/>
                <w:sz w:val="24"/>
                <w:szCs w:val="24"/>
                <w:lang w:eastAsia="lt-LT"/>
              </w:rPr>
            </w:pPr>
            <w:r w:rsidRPr="00E6633C">
              <w:rPr>
                <w:rFonts w:eastAsia="Times New Roman"/>
                <w:sz w:val="24"/>
                <w:szCs w:val="24"/>
                <w:lang w:eastAsia="lt-LT"/>
              </w:rPr>
              <w:t>9.</w:t>
            </w:r>
          </w:p>
        </w:tc>
        <w:tc>
          <w:tcPr>
            <w:tcW w:w="4650" w:type="dxa"/>
          </w:tcPr>
          <w:p w14:paraId="44453D0B" w14:textId="77777777" w:rsidR="00E6633C" w:rsidRPr="00E6633C" w:rsidRDefault="00E6633C" w:rsidP="00680BE3">
            <w:pPr>
              <w:contextualSpacing/>
              <w:jc w:val="both"/>
              <w:rPr>
                <w:rFonts w:eastAsia="Calibri"/>
                <w:bCs/>
                <w:sz w:val="24"/>
                <w:szCs w:val="24"/>
              </w:rPr>
            </w:pPr>
            <w:r w:rsidRPr="00E6633C">
              <w:rPr>
                <w:rFonts w:eastAsia="Calibri"/>
                <w:bCs/>
                <w:sz w:val="24"/>
                <w:szCs w:val="24"/>
              </w:rPr>
              <w:t>Prašome patikslinti, kokius konkrečius dokumentus ir (ar) pažymas Paslaugų teikėjas turi surinkti ar užtikrinti iš laikinųjų darbuotojų, siekiant įvykdyti saugumo patikrinimų reikalavimus.</w:t>
            </w:r>
          </w:p>
        </w:tc>
        <w:tc>
          <w:tcPr>
            <w:tcW w:w="5220" w:type="dxa"/>
          </w:tcPr>
          <w:p w14:paraId="2F439881" w14:textId="77777777" w:rsidR="00E6633C" w:rsidRPr="00E6633C" w:rsidRDefault="00E6633C" w:rsidP="00680BE3">
            <w:pPr>
              <w:jc w:val="both"/>
              <w:rPr>
                <w:sz w:val="24"/>
                <w:szCs w:val="24"/>
              </w:rPr>
            </w:pPr>
            <w:r w:rsidRPr="00E6633C">
              <w:rPr>
                <w:sz w:val="24"/>
                <w:szCs w:val="24"/>
              </w:rPr>
              <w:t>Specialiųjų pirkimo sąlygų 2 priedo „Techninė specifikacija” 4.2.12 p. nurodyta, kad laikinieji darbuotojai privalės būti praėję atitinkamus teisės aktų nustatytus saugumo patikrinimus ir turėti galiojantį leidimą patekti į Vilniaus tarptautinio oro uosto teritoriją be palydos. Leidimų gavimo tvarką nustato leidimus išduodanti institucija.</w:t>
            </w:r>
          </w:p>
        </w:tc>
      </w:tr>
      <w:tr w:rsidR="00E6633C" w:rsidRPr="00E6633C" w14:paraId="3221A358" w14:textId="77777777" w:rsidTr="00E6633C">
        <w:trPr>
          <w:trHeight w:val="620"/>
        </w:trPr>
        <w:tc>
          <w:tcPr>
            <w:tcW w:w="570" w:type="dxa"/>
          </w:tcPr>
          <w:p w14:paraId="234DEEBC" w14:textId="77777777" w:rsidR="00E6633C" w:rsidRPr="00E6633C" w:rsidRDefault="00E6633C" w:rsidP="00680BE3">
            <w:pPr>
              <w:jc w:val="both"/>
              <w:rPr>
                <w:rFonts w:eastAsia="Times New Roman"/>
                <w:sz w:val="24"/>
                <w:szCs w:val="24"/>
                <w:lang w:eastAsia="lt-LT"/>
              </w:rPr>
            </w:pPr>
            <w:r w:rsidRPr="00E6633C">
              <w:rPr>
                <w:rFonts w:eastAsia="Times New Roman"/>
                <w:sz w:val="24"/>
                <w:szCs w:val="24"/>
                <w:lang w:eastAsia="lt-LT"/>
              </w:rPr>
              <w:t>10.</w:t>
            </w:r>
          </w:p>
        </w:tc>
        <w:tc>
          <w:tcPr>
            <w:tcW w:w="4650" w:type="dxa"/>
          </w:tcPr>
          <w:p w14:paraId="7FCC6B93" w14:textId="77777777" w:rsidR="00E6633C" w:rsidRPr="00E6633C" w:rsidRDefault="00E6633C" w:rsidP="00680BE3">
            <w:pPr>
              <w:contextualSpacing/>
              <w:jc w:val="both"/>
              <w:rPr>
                <w:rFonts w:eastAsia="Calibri"/>
                <w:sz w:val="24"/>
                <w:szCs w:val="24"/>
              </w:rPr>
            </w:pPr>
            <w:r w:rsidRPr="00E6633C">
              <w:rPr>
                <w:rFonts w:eastAsia="Calibri"/>
                <w:sz w:val="24"/>
                <w:szCs w:val="24"/>
              </w:rPr>
              <w:t>Techninėje specifikacijoje numatyta, kad Paslaugų teikėjas turi aprūpinti ryšio pareigūnus technine įranga.</w:t>
            </w:r>
          </w:p>
          <w:p w14:paraId="6047D8F7" w14:textId="77777777" w:rsidR="00E6633C" w:rsidRPr="00E6633C" w:rsidRDefault="00E6633C" w:rsidP="00680BE3">
            <w:pPr>
              <w:contextualSpacing/>
              <w:jc w:val="both"/>
              <w:rPr>
                <w:rFonts w:eastAsia="Calibri"/>
                <w:b/>
                <w:bCs/>
                <w:sz w:val="24"/>
                <w:szCs w:val="24"/>
              </w:rPr>
            </w:pPr>
            <w:r w:rsidRPr="00E6633C">
              <w:rPr>
                <w:rFonts w:eastAsia="Calibri"/>
                <w:sz w:val="24"/>
                <w:szCs w:val="24"/>
              </w:rPr>
              <w:t>Prašome patikslinti, ar Paslaugų teikėjas privalo pats suteikti įrangą, ar pakanka užtikrinti, kad naudojama įranga atitiktų pirkimo dokumentuose nustatytus</w:t>
            </w:r>
            <w:r w:rsidRPr="00E6633C">
              <w:rPr>
                <w:rFonts w:eastAsia="Calibri"/>
                <w:b/>
                <w:bCs/>
                <w:sz w:val="24"/>
                <w:szCs w:val="24"/>
              </w:rPr>
              <w:t xml:space="preserve"> </w:t>
            </w:r>
            <w:r w:rsidRPr="00E6633C">
              <w:rPr>
                <w:rFonts w:eastAsia="Calibri"/>
                <w:sz w:val="24"/>
                <w:szCs w:val="24"/>
              </w:rPr>
              <w:t>techninius ir saugumo reikalavimus.</w:t>
            </w:r>
          </w:p>
        </w:tc>
        <w:tc>
          <w:tcPr>
            <w:tcW w:w="5220" w:type="dxa"/>
          </w:tcPr>
          <w:p w14:paraId="3F5B7198" w14:textId="77777777" w:rsidR="00E6633C" w:rsidRPr="00E6633C" w:rsidRDefault="00E6633C" w:rsidP="00680BE3">
            <w:pPr>
              <w:jc w:val="both"/>
              <w:rPr>
                <w:sz w:val="24"/>
                <w:szCs w:val="24"/>
              </w:rPr>
            </w:pPr>
            <w:r w:rsidRPr="00E6633C">
              <w:rPr>
                <w:sz w:val="24"/>
                <w:szCs w:val="24"/>
              </w:rPr>
              <w:t>Specialiųjų pirkimo sąlygų 2 priedo „Techninė specifikacija” 4.2.7 p. numatyta, kad Paslaugų teikėjas turi aprūpinti ryšio pareigūnus technine įranga. Įranga turi atitikti visus techninėje specifikacijoje nustatytus reikalavimus, nepriklausomai nuo to, kam ši įranga priklauso</w:t>
            </w:r>
          </w:p>
        </w:tc>
      </w:tr>
    </w:tbl>
    <w:p w14:paraId="4F84399D" w14:textId="77777777" w:rsidR="00E6633C" w:rsidRPr="00E6633C" w:rsidRDefault="00E6633C" w:rsidP="00E6633C">
      <w:pPr>
        <w:pStyle w:val="FreeForm"/>
        <w:keepNext/>
        <w:spacing w:line="300" w:lineRule="atLeast"/>
        <w:rPr>
          <w:rFonts w:ascii="Times New Roman" w:hAnsi="Times New Roman" w:cs="Times New Roman"/>
          <w:sz w:val="24"/>
          <w:szCs w:val="24"/>
          <w:lang w:val="lt-LT"/>
        </w:rPr>
      </w:pPr>
    </w:p>
    <w:p w14:paraId="1EA3234A" w14:textId="77777777" w:rsidR="00E6633C" w:rsidRPr="00E6633C" w:rsidRDefault="00E6633C" w:rsidP="00E6633C">
      <w:pPr>
        <w:ind w:firstLine="720"/>
        <w:rPr>
          <w:lang w:val="lt-LT"/>
        </w:rPr>
      </w:pPr>
      <w:r w:rsidRPr="00E6633C">
        <w:rPr>
          <w:lang w:val="lt-LT"/>
        </w:rPr>
        <w:t>Taip pat informuojame, kad, vadovaujantis Specialiųjų pirkimo sąlygų 1 priedo „Terminai” 4 p., pasiūlymų pateikimo terminas pratęsiamas iki 2026-04-21 10:00 val.</w:t>
      </w:r>
    </w:p>
    <w:p w14:paraId="738D8CE5" w14:textId="77777777" w:rsidR="00E6633C" w:rsidRPr="00E6633C" w:rsidRDefault="00E6633C" w:rsidP="00E6633C">
      <w:pPr>
        <w:pStyle w:val="Caption"/>
        <w:rPr>
          <w:i w:val="0"/>
          <w:iCs w:val="0"/>
          <w:color w:val="auto"/>
          <w:sz w:val="24"/>
          <w:szCs w:val="24"/>
          <w:lang w:val="lt-LT"/>
        </w:rPr>
      </w:pPr>
    </w:p>
    <w:p w14:paraId="1863242E" w14:textId="77777777" w:rsidR="00E6633C" w:rsidRPr="00E6633C" w:rsidRDefault="00E6633C" w:rsidP="00E6633C">
      <w:pPr>
        <w:pStyle w:val="Caption"/>
        <w:rPr>
          <w:i w:val="0"/>
          <w:iCs w:val="0"/>
          <w:color w:val="auto"/>
          <w:sz w:val="24"/>
          <w:szCs w:val="24"/>
          <w:lang w:val="lt-LT"/>
        </w:rPr>
      </w:pPr>
      <w:r w:rsidRPr="00E6633C">
        <w:rPr>
          <w:i w:val="0"/>
          <w:iCs w:val="0"/>
          <w:color w:val="auto"/>
          <w:sz w:val="24"/>
          <w:szCs w:val="24"/>
          <w:lang w:val="lt-LT"/>
        </w:rPr>
        <w:t>Viešojo pirkimo komisija</w:t>
      </w:r>
    </w:p>
    <w:p w14:paraId="0D41B77C" w14:textId="77777777" w:rsidR="009E62D1" w:rsidRDefault="009E62D1"/>
    <w:sectPr w:rsidR="009E62D1" w:rsidSect="00E6633C">
      <w:headerReference w:type="default" r:id="rId6"/>
      <w:footerReference w:type="default" r:id="rId7"/>
      <w:pgSz w:w="11900" w:h="16840"/>
      <w:pgMar w:top="1080" w:right="740" w:bottom="810"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3455" w14:textId="77777777" w:rsidR="00E6633C" w:rsidRDefault="00E6633C" w:rsidP="00E6633C">
      <w:r>
        <w:separator/>
      </w:r>
    </w:p>
  </w:endnote>
  <w:endnote w:type="continuationSeparator" w:id="0">
    <w:p w14:paraId="119A59CF" w14:textId="77777777" w:rsidR="00E6633C" w:rsidRDefault="00E6633C" w:rsidP="00E6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BD46" w14:textId="77777777" w:rsidR="00E6633C" w:rsidRDefault="00E6633C">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56CA2" w14:textId="77777777" w:rsidR="00E6633C" w:rsidRDefault="00E6633C" w:rsidP="00E6633C">
      <w:r>
        <w:separator/>
      </w:r>
    </w:p>
  </w:footnote>
  <w:footnote w:type="continuationSeparator" w:id="0">
    <w:p w14:paraId="6C752EDA" w14:textId="77777777" w:rsidR="00E6633C" w:rsidRDefault="00E6633C" w:rsidP="00E6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D07E" w14:textId="71E70B88" w:rsidR="00E6633C" w:rsidRDefault="00E6633C">
    <w:pPr>
      <w:pStyle w:val="Header"/>
    </w:pPr>
    <w:r>
      <w:rPr>
        <w:rFonts w:ascii="Nunito Sans" w:hAnsi="Nunito Sans" w:cs="Arial"/>
        <w:noProof/>
        <w:color w:val="515365"/>
        <w:sz w:val="20"/>
        <w:szCs w:val="20"/>
      </w:rPr>
      <w:drawing>
        <wp:inline distT="0" distB="0" distL="0" distR="0" wp14:anchorId="47B242DD" wp14:editId="1CBBE5D7">
          <wp:extent cx="1248229" cy="512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3C"/>
    <w:rsid w:val="00560ADA"/>
    <w:rsid w:val="00681129"/>
    <w:rsid w:val="00681758"/>
    <w:rsid w:val="009D2AB4"/>
    <w:rsid w:val="009E62D1"/>
    <w:rsid w:val="00B9697F"/>
    <w:rsid w:val="00BA7F61"/>
    <w:rsid w:val="00D604AB"/>
    <w:rsid w:val="00D754A9"/>
    <w:rsid w:val="00E6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31DD"/>
  <w15:chartTrackingRefBased/>
  <w15:docId w15:val="{597A3A3B-096E-4F4A-A2E9-98629956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3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E663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E663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E663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E663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E663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E663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E663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E663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E663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33C"/>
    <w:rPr>
      <w:rFonts w:eastAsiaTheme="majorEastAsia" w:cstheme="majorBidi"/>
      <w:color w:val="272727" w:themeColor="text1" w:themeTint="D8"/>
    </w:rPr>
  </w:style>
  <w:style w:type="paragraph" w:styleId="Title">
    <w:name w:val="Title"/>
    <w:basedOn w:val="Normal"/>
    <w:next w:val="Normal"/>
    <w:link w:val="TitleChar"/>
    <w:uiPriority w:val="10"/>
    <w:qFormat/>
    <w:rsid w:val="00E6633C"/>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E66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33C"/>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E66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33C"/>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E6633C"/>
    <w:rPr>
      <w:i/>
      <w:iCs/>
      <w:color w:val="404040" w:themeColor="text1" w:themeTint="BF"/>
    </w:rPr>
  </w:style>
  <w:style w:type="paragraph" w:styleId="ListParagraph">
    <w:name w:val="List Paragraph"/>
    <w:basedOn w:val="Normal"/>
    <w:uiPriority w:val="34"/>
    <w:qFormat/>
    <w:rsid w:val="00E6633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E6633C"/>
    <w:rPr>
      <w:i/>
      <w:iCs/>
      <w:color w:val="0F4761" w:themeColor="accent1" w:themeShade="BF"/>
    </w:rPr>
  </w:style>
  <w:style w:type="paragraph" w:styleId="IntenseQuote">
    <w:name w:val="Intense Quote"/>
    <w:basedOn w:val="Normal"/>
    <w:next w:val="Normal"/>
    <w:link w:val="IntenseQuoteChar"/>
    <w:uiPriority w:val="30"/>
    <w:qFormat/>
    <w:rsid w:val="00E6633C"/>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E6633C"/>
    <w:rPr>
      <w:i/>
      <w:iCs/>
      <w:color w:val="0F4761" w:themeColor="accent1" w:themeShade="BF"/>
    </w:rPr>
  </w:style>
  <w:style w:type="character" w:styleId="IntenseReference">
    <w:name w:val="Intense Reference"/>
    <w:basedOn w:val="DefaultParagraphFont"/>
    <w:uiPriority w:val="32"/>
    <w:qFormat/>
    <w:rsid w:val="00E6633C"/>
    <w:rPr>
      <w:b/>
      <w:bCs/>
      <w:smallCaps/>
      <w:color w:val="0F4761" w:themeColor="accent1" w:themeShade="BF"/>
      <w:spacing w:val="5"/>
    </w:rPr>
  </w:style>
  <w:style w:type="paragraph" w:customStyle="1" w:styleId="HeaderFooter">
    <w:name w:val="Header &amp; Footer"/>
    <w:rsid w:val="00E6633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14:ligatures w14:val="none"/>
    </w:rPr>
  </w:style>
  <w:style w:type="paragraph" w:customStyle="1" w:styleId="FreeForm">
    <w:name w:val="Free Form"/>
    <w:uiPriority w:val="99"/>
    <w:rsid w:val="00E6633C"/>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 w:type="table" w:styleId="TableGrid">
    <w:name w:val="Table Grid"/>
    <w:basedOn w:val="TableNormal"/>
    <w:uiPriority w:val="39"/>
    <w:rsid w:val="00E6633C"/>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633C"/>
    <w:pPr>
      <w:spacing w:after="200"/>
    </w:pPr>
    <w:rPr>
      <w:i/>
      <w:iCs/>
      <w:color w:val="0E2841" w:themeColor="text2"/>
      <w:sz w:val="18"/>
      <w:szCs w:val="18"/>
    </w:rPr>
  </w:style>
  <w:style w:type="paragraph" w:styleId="Header">
    <w:name w:val="header"/>
    <w:basedOn w:val="Normal"/>
    <w:link w:val="HeaderChar"/>
    <w:uiPriority w:val="99"/>
    <w:unhideWhenUsed/>
    <w:rsid w:val="00E6633C"/>
    <w:pPr>
      <w:tabs>
        <w:tab w:val="center" w:pos="4680"/>
        <w:tab w:val="right" w:pos="9360"/>
      </w:tabs>
    </w:pPr>
  </w:style>
  <w:style w:type="character" w:customStyle="1" w:styleId="HeaderChar">
    <w:name w:val="Header Char"/>
    <w:basedOn w:val="DefaultParagraphFont"/>
    <w:link w:val="Header"/>
    <w:uiPriority w:val="99"/>
    <w:rsid w:val="00E6633C"/>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E6633C"/>
    <w:pPr>
      <w:tabs>
        <w:tab w:val="center" w:pos="4680"/>
        <w:tab w:val="right" w:pos="9360"/>
      </w:tabs>
    </w:pPr>
  </w:style>
  <w:style w:type="character" w:customStyle="1" w:styleId="FooterChar">
    <w:name w:val="Footer Char"/>
    <w:basedOn w:val="DefaultParagraphFont"/>
    <w:link w:val="Footer"/>
    <w:uiPriority w:val="99"/>
    <w:rsid w:val="00E6633C"/>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Vitkauskienė</dc:creator>
  <cp:keywords/>
  <dc:description/>
  <cp:lastModifiedBy>Rūta Vitkauskienė</cp:lastModifiedBy>
  <cp:revision>1</cp:revision>
  <dcterms:created xsi:type="dcterms:W3CDTF">2026-04-14T10:19:00Z</dcterms:created>
  <dcterms:modified xsi:type="dcterms:W3CDTF">2026-04-14T10:20:00Z</dcterms:modified>
</cp:coreProperties>
</file>