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3FE5E092"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3D24B5C" w:rsidR="00597DC2" w:rsidRPr="00597DC2" w:rsidRDefault="00597DC2" w:rsidP="00C807BD">
          <w:pPr>
            <w:spacing w:after="0" w:line="240" w:lineRule="auto"/>
            <w:ind w:left="4320" w:firstLine="72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496CB078" w:rsidR="00597DC2" w:rsidRDefault="00597DC2" w:rsidP="00FE38C5">
          <w:pPr>
            <w:spacing w:after="0" w:line="240" w:lineRule="auto"/>
            <w:ind w:left="504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5B1A48A9"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90A8B">
            <w:rPr>
              <w:rFonts w:ascii="Times New Roman" w:eastAsia="Times New Roman" w:hAnsi="Times New Roman" w:cs="Times New Roman"/>
              <w:bCs/>
              <w:sz w:val="24"/>
              <w:szCs w:val="24"/>
            </w:rPr>
            <w:t xml:space="preserve">     </w:t>
          </w:r>
          <w:r w:rsidR="00BF0EE8">
            <w:rPr>
              <w:rFonts w:ascii="Times New Roman" w:eastAsia="Times New Roman" w:hAnsi="Times New Roman" w:cs="Times New Roman"/>
              <w:bCs/>
              <w:sz w:val="24"/>
              <w:szCs w:val="24"/>
            </w:rPr>
            <w:t>balandžio</w:t>
          </w:r>
          <w:r w:rsidR="004647A4">
            <w:rPr>
              <w:rFonts w:ascii="Times New Roman" w:eastAsia="Times New Roman" w:hAnsi="Times New Roman" w:cs="Times New Roman"/>
              <w:bCs/>
              <w:sz w:val="24"/>
              <w:szCs w:val="24"/>
            </w:rPr>
            <w:t xml:space="preserve"> </w:t>
          </w:r>
          <w:r w:rsidR="00FE38C5">
            <w:rPr>
              <w:rFonts w:ascii="Times New Roman" w:eastAsia="Times New Roman" w:hAnsi="Times New Roman" w:cs="Times New Roman"/>
              <w:bCs/>
              <w:sz w:val="24"/>
              <w:szCs w:val="24"/>
            </w:rPr>
            <w:t xml:space="preserve">14 </w:t>
          </w:r>
          <w:r w:rsidR="00597DC2" w:rsidRPr="00597DC2">
            <w:rPr>
              <w:rFonts w:ascii="Times New Roman" w:eastAsia="Times New Roman" w:hAnsi="Times New Roman" w:cs="Times New Roman"/>
              <w:bCs/>
              <w:sz w:val="24"/>
              <w:szCs w:val="24"/>
            </w:rPr>
            <w:t>d. įsakymu Nr. V42E-</w:t>
          </w:r>
          <w:r w:rsidR="00FE38C5">
            <w:rPr>
              <w:rFonts w:ascii="Times New Roman" w:eastAsia="Times New Roman" w:hAnsi="Times New Roman" w:cs="Times New Roman"/>
              <w:bCs/>
              <w:sz w:val="24"/>
              <w:szCs w:val="24"/>
            </w:rPr>
            <w:t>24</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3AA90A03"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8959F4" w:rsidRPr="008959F4">
            <w:rPr>
              <w:rFonts w:ascii="Times New Roman" w:hAnsi="Times New Roman" w:cs="Times New Roman"/>
              <w:b/>
              <w:bCs/>
              <w:sz w:val="24"/>
              <w:szCs w:val="24"/>
            </w:rPr>
            <w:t>DOVAINONIŲ KAIMO RUMŠIŠKIŲ GATVĖS ATKARPOS, NUO EGLIŲ GATVĖS (APIE 480 M), ELEKTROS APŠVIETIMO LINIJOS TECHNINIO DARBO PROJEKTO PARENGIM</w:t>
          </w:r>
          <w:r w:rsidR="008959F4">
            <w:rPr>
              <w:rFonts w:ascii="Times New Roman" w:hAnsi="Times New Roman" w:cs="Times New Roman"/>
              <w:b/>
              <w:bCs/>
              <w:sz w:val="24"/>
              <w:szCs w:val="24"/>
            </w:rPr>
            <w:t>AS</w:t>
          </w:r>
          <w:r w:rsidR="008959F4" w:rsidRPr="008959F4">
            <w:rPr>
              <w:rFonts w:ascii="Times New Roman" w:hAnsi="Times New Roman" w:cs="Times New Roman"/>
              <w:b/>
              <w:bCs/>
              <w:sz w:val="24"/>
              <w:szCs w:val="24"/>
            </w:rPr>
            <w:t xml:space="preserve"> IR RANGOS DARB</w:t>
          </w:r>
          <w:r w:rsidR="008959F4">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53D0A57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8959F4" w:rsidRPr="008959F4">
            <w:rPr>
              <w:rFonts w:ascii="Times New Roman" w:hAnsi="Times New Roman" w:cs="Times New Roman"/>
              <w:b/>
              <w:bCs/>
              <w:sz w:val="24"/>
              <w:szCs w:val="24"/>
            </w:rPr>
            <w:t>DOVAINONIŲ KAIMO RUMŠIŠKIŲ GATVĖS ATKARPOS, NUO EGLIŲ GATVĖS (APIE 480 M),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76B7818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8959F4" w:rsidRPr="008959F4">
            <w:rPr>
              <w:rFonts w:ascii="Times New Roman" w:hAnsi="Times New Roman" w:cs="Times New Roman"/>
              <w:b/>
              <w:bCs/>
              <w:sz w:val="24"/>
              <w:szCs w:val="24"/>
            </w:rPr>
            <w:t>DOVAINONIŲ KAIMO RUMŠIŠKIŲ GATVĖS ATKARPOS, NUO EGLIŲ GATVĖS (APIE 480 M),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E8A1E0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8959F4">
        <w:rPr>
          <w:rFonts w:ascii="Times New Roman" w:eastAsia="Calibri" w:hAnsi="Times New Roman" w:cs="Times New Roman"/>
          <w:bCs/>
          <w:sz w:val="24"/>
          <w:szCs w:val="24"/>
        </w:rPr>
        <w:t>D</w:t>
      </w:r>
      <w:r w:rsidR="008959F4" w:rsidRPr="008959F4">
        <w:rPr>
          <w:rFonts w:ascii="Times New Roman" w:eastAsia="Calibri" w:hAnsi="Times New Roman" w:cs="Times New Roman"/>
          <w:bCs/>
          <w:sz w:val="24"/>
          <w:szCs w:val="24"/>
        </w:rPr>
        <w:t>ovainonių</w:t>
      </w:r>
      <w:proofErr w:type="spellEnd"/>
      <w:r w:rsidR="008959F4" w:rsidRPr="008959F4">
        <w:rPr>
          <w:rFonts w:ascii="Times New Roman" w:eastAsia="Calibri" w:hAnsi="Times New Roman" w:cs="Times New Roman"/>
          <w:bCs/>
          <w:sz w:val="24"/>
          <w:szCs w:val="24"/>
        </w:rPr>
        <w:t xml:space="preserve"> kaimo </w:t>
      </w:r>
      <w:r w:rsidR="008959F4">
        <w:rPr>
          <w:rFonts w:ascii="Times New Roman" w:eastAsia="Calibri" w:hAnsi="Times New Roman" w:cs="Times New Roman"/>
          <w:bCs/>
          <w:sz w:val="24"/>
          <w:szCs w:val="24"/>
        </w:rPr>
        <w:t>R</w:t>
      </w:r>
      <w:r w:rsidR="008959F4" w:rsidRPr="008959F4">
        <w:rPr>
          <w:rFonts w:ascii="Times New Roman" w:eastAsia="Calibri" w:hAnsi="Times New Roman" w:cs="Times New Roman"/>
          <w:bCs/>
          <w:sz w:val="24"/>
          <w:szCs w:val="24"/>
        </w:rPr>
        <w:t xml:space="preserve">umšiškių gatvės atkarpos, nuo </w:t>
      </w:r>
      <w:r w:rsidR="000C72E9">
        <w:rPr>
          <w:rFonts w:ascii="Times New Roman" w:eastAsia="Calibri" w:hAnsi="Times New Roman" w:cs="Times New Roman"/>
          <w:bCs/>
          <w:sz w:val="24"/>
          <w:szCs w:val="24"/>
        </w:rPr>
        <w:t>E</w:t>
      </w:r>
      <w:r w:rsidR="008959F4" w:rsidRPr="008959F4">
        <w:rPr>
          <w:rFonts w:ascii="Times New Roman" w:eastAsia="Calibri" w:hAnsi="Times New Roman" w:cs="Times New Roman"/>
          <w:bCs/>
          <w:sz w:val="24"/>
          <w:szCs w:val="24"/>
        </w:rPr>
        <w:t>glių gatvės (apie 480 m), elektros apšvietimo linijos techninio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14B293F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959F4">
        <w:rPr>
          <w:rFonts w:ascii="Times New Roman" w:eastAsia="Times New Roman" w:hAnsi="Times New Roman" w:cs="Times New Roman"/>
          <w:i/>
          <w:iCs/>
          <w:color w:val="000000"/>
          <w:sz w:val="24"/>
          <w:szCs w:val="24"/>
        </w:rPr>
        <w:t xml:space="preserve"> </w:t>
      </w:r>
      <w:proofErr w:type="spellStart"/>
      <w:r w:rsidR="008959F4" w:rsidRPr="008959F4">
        <w:rPr>
          <w:rFonts w:ascii="Times New Roman" w:eastAsia="Times New Roman" w:hAnsi="Times New Roman" w:cs="Times New Roman"/>
          <w:i/>
          <w:iCs/>
          <w:color w:val="000000"/>
          <w:sz w:val="24"/>
          <w:szCs w:val="24"/>
        </w:rPr>
        <w:t>Dovainonių</w:t>
      </w:r>
      <w:proofErr w:type="spellEnd"/>
      <w:r w:rsidR="008959F4" w:rsidRPr="008959F4">
        <w:rPr>
          <w:rFonts w:ascii="Times New Roman" w:eastAsia="Times New Roman" w:hAnsi="Times New Roman" w:cs="Times New Roman"/>
          <w:i/>
          <w:iCs/>
          <w:color w:val="000000"/>
          <w:sz w:val="24"/>
          <w:szCs w:val="24"/>
        </w:rPr>
        <w:t xml:space="preserve"> kaimo Rumšiškių gatvės atkarpos, nuo </w:t>
      </w:r>
      <w:r w:rsidR="000C72E9">
        <w:rPr>
          <w:rFonts w:ascii="Times New Roman" w:eastAsia="Times New Roman" w:hAnsi="Times New Roman" w:cs="Times New Roman"/>
          <w:i/>
          <w:iCs/>
          <w:color w:val="000000"/>
          <w:sz w:val="24"/>
          <w:szCs w:val="24"/>
        </w:rPr>
        <w:t>E</w:t>
      </w:r>
      <w:r w:rsidR="008959F4" w:rsidRPr="008959F4">
        <w:rPr>
          <w:rFonts w:ascii="Times New Roman" w:eastAsia="Times New Roman" w:hAnsi="Times New Roman" w:cs="Times New Roman"/>
          <w:i/>
          <w:iCs/>
          <w:color w:val="000000"/>
          <w:sz w:val="24"/>
          <w:szCs w:val="24"/>
        </w:rPr>
        <w:t>glių gatvės (apie 480 m), elektros apšvietimo linijos techninio darbo projekto parengim</w:t>
      </w:r>
      <w:r w:rsidR="008959F4">
        <w:rPr>
          <w:rFonts w:ascii="Times New Roman" w:eastAsia="Times New Roman" w:hAnsi="Times New Roman" w:cs="Times New Roman"/>
          <w:i/>
          <w:iCs/>
          <w:color w:val="000000"/>
          <w:sz w:val="24"/>
          <w:szCs w:val="24"/>
        </w:rPr>
        <w:t>ą</w:t>
      </w:r>
      <w:r w:rsidR="008959F4" w:rsidRPr="008959F4">
        <w:rPr>
          <w:rFonts w:ascii="Times New Roman" w:eastAsia="Times New Roman" w:hAnsi="Times New Roman" w:cs="Times New Roman"/>
          <w:i/>
          <w:iCs/>
          <w:color w:val="000000"/>
          <w:sz w:val="24"/>
          <w:szCs w:val="24"/>
        </w:rPr>
        <w:t xml:space="preserve"> ir rangos darb</w:t>
      </w:r>
      <w:r w:rsidR="008959F4">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F0327">
        <w:rPr>
          <w:rFonts w:ascii="Times New Roman" w:hAnsi="Times New Roman" w:cs="Times New Roman"/>
          <w:bCs/>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970687F" w14:textId="6F6659EA" w:rsidR="00273542" w:rsidRPr="00273542" w:rsidRDefault="00B8621A" w:rsidP="00273542">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9B56F2" w:rsidRPr="009B56F2">
        <w:rPr>
          <w:rFonts w:ascii="Times New Roman" w:eastAsia="Times New Roman" w:hAnsi="Times New Roman" w:cs="Times New Roman"/>
          <w:b/>
          <w:iCs/>
          <w:color w:val="000000"/>
          <w:sz w:val="24"/>
          <w:szCs w:val="24"/>
          <w:lang w:eastAsia="en-US"/>
        </w:rPr>
        <w:t>DOVAINONIŲ KAIMO RUMŠIŠKIŲ GATVĖS ATKARPOS, NUO EGLIŲ GATVĖS (APIE 480 M), ELEKTROS APŠVIETIMO LINIJOS TECHNINIO DARBO PROJEKTO PARENGIM</w:t>
      </w:r>
      <w:r w:rsidR="009B56F2">
        <w:rPr>
          <w:rFonts w:ascii="Times New Roman" w:eastAsia="Times New Roman" w:hAnsi="Times New Roman" w:cs="Times New Roman"/>
          <w:b/>
          <w:iCs/>
          <w:color w:val="000000"/>
          <w:sz w:val="24"/>
          <w:szCs w:val="24"/>
          <w:lang w:eastAsia="en-US"/>
        </w:rPr>
        <w:t>O</w:t>
      </w:r>
      <w:r w:rsidR="009B56F2" w:rsidRPr="009B56F2">
        <w:rPr>
          <w:rFonts w:ascii="Times New Roman" w:eastAsia="Times New Roman" w:hAnsi="Times New Roman" w:cs="Times New Roman"/>
          <w:b/>
          <w:iCs/>
          <w:color w:val="000000"/>
          <w:sz w:val="24"/>
          <w:szCs w:val="24"/>
          <w:lang w:eastAsia="en-US"/>
        </w:rPr>
        <w:t xml:space="preserve"> IR RANGOS DARB</w:t>
      </w:r>
      <w:r w:rsidR="009B56F2">
        <w:rPr>
          <w:rFonts w:ascii="Times New Roman" w:eastAsia="Times New Roman" w:hAnsi="Times New Roman" w:cs="Times New Roman"/>
          <w:b/>
          <w:iCs/>
          <w:color w:val="000000"/>
          <w:sz w:val="24"/>
          <w:szCs w:val="24"/>
          <w:lang w:eastAsia="en-US"/>
        </w:rPr>
        <w:t>Ų</w:t>
      </w:r>
    </w:p>
    <w:p w14:paraId="141631C4" w14:textId="06C9DEAE" w:rsidR="00B8621A" w:rsidRPr="001E67FB" w:rsidRDefault="00B8621A" w:rsidP="00B8621A">
      <w:pPr>
        <w:spacing w:after="0" w:line="240" w:lineRule="auto"/>
        <w:jc w:val="center"/>
        <w:rPr>
          <w:rFonts w:ascii="Times New Roman" w:eastAsia="Times New Roman" w:hAnsi="Times New Roman" w:cs="Times New Roman"/>
          <w:b/>
          <w:bCs/>
          <w:sz w:val="24"/>
          <w:szCs w:val="24"/>
        </w:rPr>
      </w:pP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lastRenderedPageBreak/>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228617DB" w:rsidR="005419BF" w:rsidRPr="00273542" w:rsidRDefault="009B56F2" w:rsidP="00273542">
            <w:pPr>
              <w:spacing w:after="0" w:line="240" w:lineRule="auto"/>
              <w:jc w:val="both"/>
              <w:rPr>
                <w:rFonts w:ascii="Times New Roman" w:eastAsia="Calibri" w:hAnsi="Times New Roman" w:cs="Times New Roman"/>
                <w:sz w:val="22"/>
                <w:szCs w:val="22"/>
              </w:rPr>
            </w:pPr>
            <w:proofErr w:type="spellStart"/>
            <w:r w:rsidRPr="009B56F2">
              <w:rPr>
                <w:rFonts w:ascii="Times New Roman" w:eastAsia="Calibri" w:hAnsi="Times New Roman" w:cs="Times New Roman"/>
                <w:sz w:val="22"/>
                <w:szCs w:val="22"/>
              </w:rPr>
              <w:t>Dovainonių</w:t>
            </w:r>
            <w:proofErr w:type="spellEnd"/>
            <w:r w:rsidRPr="009B56F2">
              <w:rPr>
                <w:rFonts w:ascii="Times New Roman" w:eastAsia="Calibri" w:hAnsi="Times New Roman" w:cs="Times New Roman"/>
                <w:sz w:val="22"/>
                <w:szCs w:val="22"/>
              </w:rPr>
              <w:t xml:space="preserve"> kaimo Rumšiškių gatvės atkarpos, nuo </w:t>
            </w:r>
            <w:r w:rsidR="000C72E9">
              <w:rPr>
                <w:rFonts w:ascii="Times New Roman" w:eastAsia="Calibri" w:hAnsi="Times New Roman" w:cs="Times New Roman"/>
                <w:sz w:val="22"/>
                <w:szCs w:val="22"/>
              </w:rPr>
              <w:t>E</w:t>
            </w:r>
            <w:r w:rsidRPr="009B56F2">
              <w:rPr>
                <w:rFonts w:ascii="Times New Roman" w:eastAsia="Calibri" w:hAnsi="Times New Roman" w:cs="Times New Roman"/>
                <w:sz w:val="22"/>
                <w:szCs w:val="22"/>
              </w:rPr>
              <w:t>glių gatvės (apie 480 m), elektros apšvietimo linijos techninio darbo projekto parengim</w:t>
            </w:r>
            <w:r>
              <w:rPr>
                <w:rFonts w:ascii="Times New Roman" w:eastAsia="Calibri" w:hAnsi="Times New Roman" w:cs="Times New Roman"/>
                <w:sz w:val="22"/>
                <w:szCs w:val="22"/>
              </w:rPr>
              <w:t>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14:paraId="065DE04F"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B998" w14:textId="32E1ADCD"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D9AAE" w14:textId="043E9568" w:rsidR="00273542" w:rsidRPr="00273542" w:rsidRDefault="009B56F2" w:rsidP="00273542">
            <w:pPr>
              <w:spacing w:after="0" w:line="240" w:lineRule="auto"/>
              <w:jc w:val="both"/>
              <w:rPr>
                <w:rFonts w:ascii="Times New Roman" w:eastAsia="Calibri" w:hAnsi="Times New Roman" w:cs="Times New Roman"/>
                <w:sz w:val="22"/>
                <w:szCs w:val="22"/>
              </w:rPr>
            </w:pPr>
            <w:proofErr w:type="spellStart"/>
            <w:r w:rsidRPr="009B56F2">
              <w:rPr>
                <w:rFonts w:ascii="Times New Roman" w:eastAsia="Calibri" w:hAnsi="Times New Roman" w:cs="Times New Roman"/>
                <w:sz w:val="22"/>
                <w:szCs w:val="22"/>
              </w:rPr>
              <w:t>Dovainonių</w:t>
            </w:r>
            <w:proofErr w:type="spellEnd"/>
            <w:r w:rsidRPr="009B56F2">
              <w:rPr>
                <w:rFonts w:ascii="Times New Roman" w:eastAsia="Calibri" w:hAnsi="Times New Roman" w:cs="Times New Roman"/>
                <w:sz w:val="22"/>
                <w:szCs w:val="22"/>
              </w:rPr>
              <w:t xml:space="preserve"> kaimo Rumšiškių gatvės atkarpos, nuo </w:t>
            </w:r>
            <w:r w:rsidR="000C72E9">
              <w:rPr>
                <w:rFonts w:ascii="Times New Roman" w:eastAsia="Calibri" w:hAnsi="Times New Roman" w:cs="Times New Roman"/>
                <w:sz w:val="22"/>
                <w:szCs w:val="22"/>
              </w:rPr>
              <w:t>E</w:t>
            </w:r>
            <w:r w:rsidRPr="009B56F2">
              <w:rPr>
                <w:rFonts w:ascii="Times New Roman" w:eastAsia="Calibri" w:hAnsi="Times New Roman" w:cs="Times New Roman"/>
                <w:sz w:val="22"/>
                <w:szCs w:val="22"/>
              </w:rPr>
              <w:t>glių gatvės (apie 480 m), elektros apšvietimo linijos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C59D"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EECC"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155A"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3BDC7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4203" w14:textId="77777777" w:rsidR="0014564C" w:rsidRDefault="0014564C" w:rsidP="00D05666">
      <w:r>
        <w:separator/>
      </w:r>
    </w:p>
  </w:endnote>
  <w:endnote w:type="continuationSeparator" w:id="0">
    <w:p w14:paraId="2544F7CA" w14:textId="77777777" w:rsidR="0014564C" w:rsidRDefault="0014564C" w:rsidP="00D05666">
      <w:r>
        <w:continuationSeparator/>
      </w:r>
    </w:p>
  </w:endnote>
  <w:endnote w:type="continuationNotice" w:id="1">
    <w:p w14:paraId="56CC2F06" w14:textId="77777777" w:rsidR="0014564C" w:rsidRDefault="00145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951A" w14:textId="77777777" w:rsidR="0014564C" w:rsidRDefault="0014564C" w:rsidP="00D05666">
      <w:r>
        <w:separator/>
      </w:r>
    </w:p>
  </w:footnote>
  <w:footnote w:type="continuationSeparator" w:id="0">
    <w:p w14:paraId="58430253" w14:textId="77777777" w:rsidR="0014564C" w:rsidRDefault="0014564C" w:rsidP="00D05666">
      <w:r>
        <w:continuationSeparator/>
      </w:r>
    </w:p>
  </w:footnote>
  <w:footnote w:type="continuationNotice" w:id="1">
    <w:p w14:paraId="78548D2C" w14:textId="77777777" w:rsidR="0014564C" w:rsidRDefault="0014564C">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64C"/>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A8C"/>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E4"/>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EE8"/>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346"/>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8C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10654</Words>
  <Characters>60732</Characters>
  <Application>Microsoft Office Word</Application>
  <DocSecurity>0</DocSecurity>
  <Lines>506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6</cp:revision>
  <cp:lastPrinted>2025-01-30T12:47:00Z</cp:lastPrinted>
  <dcterms:created xsi:type="dcterms:W3CDTF">2026-03-24T14:46:00Z</dcterms:created>
  <dcterms:modified xsi:type="dcterms:W3CDTF">2026-04-14T10:25:00Z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