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DF1" w:rsidRPr="008F234F" w:rsidRDefault="00225DF1" w:rsidP="00225DF1">
      <w:pPr>
        <w:spacing w:after="0" w:line="240" w:lineRule="auto"/>
        <w:ind w:firstLine="6521"/>
        <w:jc w:val="both"/>
        <w:rPr>
          <w:rFonts w:eastAsia="Times New Roman"/>
          <w:i/>
          <w:szCs w:val="24"/>
          <w:lang w:eastAsia="lt-LT"/>
        </w:rPr>
      </w:pPr>
      <w:r w:rsidRPr="008F234F">
        <w:rPr>
          <w:rFonts w:eastAsia="Times New Roman"/>
          <w:i/>
          <w:szCs w:val="24"/>
          <w:lang w:eastAsia="lt-LT"/>
        </w:rPr>
        <w:t>Preliminariosios sutarties</w:t>
      </w:r>
    </w:p>
    <w:p w:rsidR="00225DF1" w:rsidRPr="008F234F" w:rsidRDefault="00225DF1" w:rsidP="00225DF1">
      <w:pPr>
        <w:spacing w:after="0" w:line="240" w:lineRule="auto"/>
        <w:ind w:firstLine="6521"/>
        <w:jc w:val="both"/>
        <w:rPr>
          <w:rFonts w:eastAsia="Times New Roman"/>
          <w:i/>
          <w:szCs w:val="24"/>
          <w:lang w:eastAsia="lt-LT"/>
        </w:rPr>
      </w:pPr>
      <w:r w:rsidRPr="008F234F">
        <w:rPr>
          <w:rFonts w:eastAsia="Times New Roman"/>
          <w:i/>
          <w:szCs w:val="24"/>
          <w:lang w:eastAsia="lt-LT"/>
        </w:rPr>
        <w:t>pagrindinių sąlygų</w:t>
      </w:r>
    </w:p>
    <w:p w:rsidR="00225DF1" w:rsidRPr="008F234F" w:rsidRDefault="00225DF1" w:rsidP="00225DF1">
      <w:pPr>
        <w:spacing w:after="0" w:line="240" w:lineRule="auto"/>
        <w:ind w:firstLine="6521"/>
        <w:jc w:val="both"/>
        <w:rPr>
          <w:rFonts w:eastAsia="Times New Roman"/>
          <w:i/>
          <w:szCs w:val="24"/>
          <w:lang w:eastAsia="lt-LT"/>
        </w:rPr>
      </w:pPr>
      <w:r w:rsidRPr="008F234F">
        <w:rPr>
          <w:rFonts w:eastAsia="Times New Roman"/>
          <w:i/>
          <w:szCs w:val="24"/>
          <w:lang w:eastAsia="lt-LT"/>
        </w:rPr>
        <w:t>3 priedas</w:t>
      </w:r>
    </w:p>
    <w:p w:rsidR="00225DF1" w:rsidRDefault="00225DF1" w:rsidP="00225DF1">
      <w:pPr>
        <w:spacing w:after="0" w:line="240" w:lineRule="auto"/>
        <w:ind w:firstLine="720"/>
        <w:jc w:val="both"/>
        <w:rPr>
          <w:rFonts w:eastAsia="Times New Roman"/>
          <w:szCs w:val="24"/>
          <w:lang w:eastAsia="lt-LT"/>
        </w:rPr>
      </w:pPr>
    </w:p>
    <w:p w:rsidR="00225DF1" w:rsidRDefault="009149E4" w:rsidP="00225DF1">
      <w:pPr>
        <w:spacing w:after="0" w:line="240" w:lineRule="auto"/>
        <w:ind w:firstLine="720"/>
        <w:jc w:val="center"/>
        <w:rPr>
          <w:rFonts w:eastAsia="Times New Roman"/>
          <w:szCs w:val="24"/>
          <w:lang w:eastAsia="lt-LT"/>
        </w:rPr>
      </w:pPr>
      <w:r>
        <w:rPr>
          <w:b/>
          <w:bCs/>
          <w:szCs w:val="24"/>
        </w:rPr>
        <w:t>Į</w:t>
      </w:r>
      <w:bookmarkStart w:id="0" w:name="_GoBack"/>
      <w:bookmarkEnd w:id="0"/>
      <w:r w:rsidR="00225DF1">
        <w:rPr>
          <w:b/>
          <w:bCs/>
          <w:szCs w:val="24"/>
        </w:rPr>
        <w:t>kainių perskaičiavimo sąlygos</w:t>
      </w:r>
    </w:p>
    <w:p w:rsidR="00225DF1" w:rsidRDefault="00225DF1" w:rsidP="00225DF1">
      <w:pPr>
        <w:spacing w:after="0" w:line="240" w:lineRule="auto"/>
        <w:ind w:firstLine="720"/>
        <w:jc w:val="both"/>
        <w:rPr>
          <w:rFonts w:eastAsia="Times New Roman"/>
          <w:szCs w:val="24"/>
          <w:lang w:eastAsia="lt-LT"/>
        </w:rPr>
      </w:pPr>
    </w:p>
    <w:p w:rsidR="00225DF1" w:rsidRDefault="00225DF1" w:rsidP="00225DF1">
      <w:pPr>
        <w:spacing w:after="0" w:line="240" w:lineRule="auto"/>
        <w:ind w:firstLine="720"/>
        <w:jc w:val="both"/>
        <w:rPr>
          <w:rFonts w:eastAsia="Times New Roman"/>
          <w:szCs w:val="24"/>
          <w:lang w:eastAsia="lt-LT"/>
        </w:rPr>
      </w:pPr>
      <w:r>
        <w:rPr>
          <w:rFonts w:eastAsia="Times New Roman"/>
          <w:szCs w:val="24"/>
          <w:lang w:eastAsia="lt-LT"/>
        </w:rPr>
        <w:t>Preliminariosios sutarties įkainiai yra pastovūs ir nekeičiami visą Preliminariosios sutarties galiojimo laikotarpį, išskyrus atvejus, kai po Preliminariosios sutarties pasirašymo yra taikomas sutarties įkainio indeksavimas. Nuomos įsigijimo įkainio indeksavimas atliekamas tokiomis sąlygomis ir tvarka:</w:t>
      </w:r>
    </w:p>
    <w:p w:rsidR="00225DF1" w:rsidRDefault="00225DF1" w:rsidP="00225DF1">
      <w:pPr>
        <w:numPr>
          <w:ilvl w:val="0"/>
          <w:numId w:val="1"/>
        </w:numPr>
        <w:tabs>
          <w:tab w:val="left" w:pos="993"/>
        </w:tabs>
        <w:spacing w:after="0" w:line="240" w:lineRule="auto"/>
        <w:ind w:left="0" w:firstLine="720"/>
        <w:jc w:val="both"/>
        <w:rPr>
          <w:rFonts w:eastAsia="Times New Roman"/>
          <w:szCs w:val="24"/>
          <w:lang w:eastAsia="lt-LT"/>
        </w:rPr>
      </w:pPr>
      <w:r>
        <w:t xml:space="preserve">Bet kuri Preliminariosios sutarties šalis Preliminariosios sutarties galiojimo metu turi teisę inicijuoti Preliminariosios sutarties įkainių peržiūrą (keitimą) ne anksčiau kaip po 6 (šešių) mėnesių nuo Preliminariosios sutarties įsigaliojimo dienos, o jeigu peržiūra jau buvo atlikta – nuo susitarimo dėl paskutinio perskaičiavimo pagal šį papunktį įsigaliojimo dienos, jeigu vartojimo prekių ir paslaugų kainų pokytis (k), apskaičiuotas kaip nustatyta 5 punkte, viršija 5 procentus. Preliminariosios sutarties įkainių peržiūra atliekama </w:t>
      </w:r>
      <w:r>
        <w:rPr>
          <w:rStyle w:val="Strong"/>
        </w:rPr>
        <w:t>ne dažniau kaip kas 12 mėnesių</w:t>
      </w:r>
      <w:r>
        <w:rPr>
          <w:b/>
        </w:rPr>
        <w:t>.</w:t>
      </w:r>
    </w:p>
    <w:p w:rsidR="00225DF1" w:rsidRDefault="00225DF1" w:rsidP="00225DF1">
      <w:pPr>
        <w:numPr>
          <w:ilvl w:val="0"/>
          <w:numId w:val="1"/>
        </w:numPr>
        <w:tabs>
          <w:tab w:val="left" w:pos="1134"/>
        </w:tabs>
        <w:spacing w:after="0" w:line="240" w:lineRule="auto"/>
        <w:ind w:left="0" w:firstLine="720"/>
        <w:jc w:val="both"/>
        <w:rPr>
          <w:rFonts w:eastAsia="Times New Roman"/>
          <w:szCs w:val="24"/>
          <w:lang w:eastAsia="lt-LT"/>
        </w:rPr>
      </w:pPr>
      <w:r>
        <w:t>Preliminariosios sutarties įkainiai peržiūrimi tik tai Preliminariosios sutarties daliai, kuri nėra išpirkta, t. y. toms Prekėms / nuomos objektams / paslaugoms (priklausomai nuo pirkimo objekto), dėl kurių dar nebuvo atliktas atnaujintas tiekėjų varžymasis ir (ar) dar nebuvo sudarytas pagrindinis užsakymas / pirkimo sutartis. Vėlesnė Preliminariosios sutarties įkainių peržiūra negali būti taikoma užsakymams, dėl kurių atnaujintas varžymasis jau buvo atliktas arba pirkimo sutartys jau sudarytos.</w:t>
      </w:r>
    </w:p>
    <w:p w:rsidR="00225DF1" w:rsidRDefault="00225DF1" w:rsidP="00225DF1">
      <w:pPr>
        <w:numPr>
          <w:ilvl w:val="0"/>
          <w:numId w:val="1"/>
        </w:numPr>
        <w:tabs>
          <w:tab w:val="left" w:pos="1134"/>
        </w:tabs>
        <w:spacing w:after="0" w:line="240" w:lineRule="auto"/>
        <w:ind w:left="0" w:firstLine="720"/>
        <w:jc w:val="both"/>
        <w:rPr>
          <w:rFonts w:eastAsia="Times New Roman"/>
          <w:szCs w:val="24"/>
          <w:lang w:eastAsia="lt-LT"/>
        </w:rPr>
      </w:pPr>
      <w:r>
        <w:t xml:space="preserve">Jeigu konkretus užsakymas pagal Preliminariąją sutartį nevykdomas ar vykdomas netinkamai dėl tiekėjo kaltės, tokiam užsakymui taikomi įkainiai dėl kainų lygio padidėjimo nėra perskaičiuojami (gali būti mažinami, tačiau negali būti didinami), jeigu šalys raštu nesusitaria kitaip ir toks susitarimas neprieštarauja viešuosius pirkimus reglamentuojantiems teisės aktams. </w:t>
      </w:r>
    </w:p>
    <w:p w:rsidR="00225DF1" w:rsidRDefault="00225DF1" w:rsidP="00225DF1">
      <w:pPr>
        <w:numPr>
          <w:ilvl w:val="0"/>
          <w:numId w:val="1"/>
        </w:numPr>
        <w:tabs>
          <w:tab w:val="left" w:pos="1134"/>
        </w:tabs>
        <w:spacing w:after="0" w:line="240" w:lineRule="auto"/>
        <w:ind w:left="0" w:firstLine="709"/>
        <w:jc w:val="both"/>
        <w:rPr>
          <w:rFonts w:eastAsia="Times New Roman"/>
          <w:szCs w:val="24"/>
          <w:lang w:eastAsia="lt-LT"/>
        </w:rPr>
      </w:pPr>
      <w:r>
        <w:t>Atlikdamos Preliminariosios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225DF1" w:rsidRDefault="00225DF1" w:rsidP="00225DF1">
      <w:pPr>
        <w:numPr>
          <w:ilvl w:val="0"/>
          <w:numId w:val="1"/>
        </w:numPr>
        <w:tabs>
          <w:tab w:val="left" w:pos="1134"/>
        </w:tabs>
        <w:spacing w:after="0" w:line="240" w:lineRule="auto"/>
        <w:ind w:left="0" w:firstLine="709"/>
        <w:jc w:val="both"/>
        <w:rPr>
          <w:rFonts w:eastAsia="Times New Roman"/>
          <w:szCs w:val="24"/>
          <w:lang w:eastAsia="lt-LT"/>
        </w:rPr>
      </w:pPr>
      <w:r>
        <w:t>Šalys susitarime dėl įkainių perskaičiavimo privalo nurodyti: indekso reikšmę laikotarpio pradžioje ir jos nustatymo datą, indekso reikšmę laikotarpio pabaigoje ir jos nustatymo datą, kainų pokytį (k), perskaičiuotus Preliminariosios sutarties įkainius ir jų taikymo pradžią.</w:t>
      </w:r>
    </w:p>
    <w:p w:rsidR="00225DF1" w:rsidRDefault="00225DF1" w:rsidP="00225DF1">
      <w:pPr>
        <w:numPr>
          <w:ilvl w:val="0"/>
          <w:numId w:val="1"/>
        </w:numPr>
        <w:spacing w:after="0" w:line="240" w:lineRule="auto"/>
        <w:jc w:val="both"/>
        <w:rPr>
          <w:rFonts w:eastAsia="Times New Roman"/>
          <w:szCs w:val="24"/>
          <w:lang w:eastAsia="lt-LT"/>
        </w:rPr>
      </w:pPr>
      <w:r>
        <w:t>Nauji Preliminariosios sutarties įkainiai apskaičiuojami pagal formulę:</w:t>
      </w:r>
    </w:p>
    <w:p w:rsidR="00225DF1" w:rsidRDefault="00225DF1" w:rsidP="00225DF1">
      <w:pPr>
        <w:spacing w:after="0" w:line="240" w:lineRule="auto"/>
        <w:ind w:firstLine="720"/>
        <w:jc w:val="both"/>
        <w:rPr>
          <w:rFonts w:eastAsia="Times New Roman"/>
          <w:szCs w:val="24"/>
          <w:lang w:eastAsia="lt-LT"/>
        </w:rPr>
      </w:pPr>
    </w:p>
    <w:p w:rsidR="00225DF1" w:rsidRDefault="009149E4" w:rsidP="00225DF1">
      <w:pPr>
        <w:spacing w:after="0" w:line="240" w:lineRule="auto"/>
        <w:ind w:firstLine="720"/>
        <w:jc w:val="both"/>
        <w:rPr>
          <w:rFonts w:eastAsia="Times New Roman"/>
          <w:szCs w:val="24"/>
          <w:lang w:eastAsia="lt-LT"/>
        </w:rPr>
      </w:pPr>
      <m:oMath>
        <m:sSub>
          <m:sSubPr>
            <m:ctrlPr>
              <w:rPr>
                <w:rFonts w:ascii="Cambria Math" w:hAnsi="Cambria Math"/>
              </w:rPr>
            </m:ctrlPr>
          </m:sSubPr>
          <m:e>
            <m:r>
              <w:rPr>
                <w:rFonts w:ascii="Cambria Math" w:hAnsi="Cambria Math"/>
              </w:rPr>
              <m:t>a</m:t>
            </m:r>
          </m:e>
          <m:sub>
            <m:r>
              <w:rPr>
                <w:rFonts w:ascii="Cambria Math" w:hAnsi="Cambria Math"/>
              </w:rPr>
              <m:t>1</m:t>
            </m:r>
          </m:sub>
        </m:sSub>
        <m:r>
          <m:rPr>
            <m:lit/>
            <m:nor/>
          </m:rPr>
          <w:rPr>
            <w:rFonts w:ascii="Cambria Math" w:hAnsi="Cambria Math"/>
          </w:rPr>
          <m:t>=</m:t>
        </m:r>
        <m:r>
          <w:rPr>
            <w:rFonts w:ascii="Cambria Math" w:hAnsi="Cambria Math"/>
          </w:rPr>
          <m:t>a</m:t>
        </m:r>
        <m:r>
          <m:rPr>
            <m:lit/>
            <m:nor/>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225DF1">
        <w:rPr>
          <w:rFonts w:eastAsia="Times New Roman"/>
          <w:szCs w:val="24"/>
          <w:lang w:eastAsia="lt-LT"/>
        </w:rPr>
        <w:t>, kur a – įkainis (Eur be PVM) (jei peržiūra jau buvo atlikta, tai po paskutinio perskaičiavimo)</w:t>
      </w:r>
    </w:p>
    <w:p w:rsidR="00225DF1" w:rsidRDefault="00225DF1" w:rsidP="00225DF1">
      <w:pPr>
        <w:spacing w:after="0" w:line="240" w:lineRule="auto"/>
        <w:ind w:firstLine="720"/>
        <w:jc w:val="both"/>
        <w:rPr>
          <w:rFonts w:eastAsia="Times New Roman"/>
          <w:szCs w:val="24"/>
          <w:lang w:eastAsia="lt-LT"/>
        </w:rPr>
      </w:pPr>
      <w:r>
        <w:rPr>
          <w:rFonts w:eastAsia="Times New Roman"/>
          <w:szCs w:val="24"/>
          <w:lang w:eastAsia="lt-LT"/>
        </w:rPr>
        <w:t>a</w:t>
      </w:r>
      <w:r>
        <w:rPr>
          <w:rFonts w:eastAsia="Times New Roman"/>
          <w:szCs w:val="24"/>
          <w:vertAlign w:val="subscript"/>
          <w:lang w:eastAsia="lt-LT"/>
        </w:rPr>
        <w:t>1</w:t>
      </w:r>
      <w:r>
        <w:rPr>
          <w:rFonts w:eastAsia="Times New Roman"/>
          <w:szCs w:val="24"/>
          <w:lang w:eastAsia="lt-LT"/>
        </w:rPr>
        <w:t xml:space="preserve"> – perskaičiuotas (pakeistas) įkainis (</w:t>
      </w:r>
      <w:proofErr w:type="spellStart"/>
      <w:r>
        <w:rPr>
          <w:rFonts w:eastAsia="Times New Roman"/>
          <w:szCs w:val="24"/>
          <w:lang w:eastAsia="lt-LT"/>
        </w:rPr>
        <w:t>Eur</w:t>
      </w:r>
      <w:proofErr w:type="spellEnd"/>
      <w:r>
        <w:rPr>
          <w:rFonts w:eastAsia="Times New Roman"/>
          <w:szCs w:val="24"/>
          <w:lang w:eastAsia="lt-LT"/>
        </w:rPr>
        <w:t xml:space="preserve"> be PVM)</w:t>
      </w:r>
    </w:p>
    <w:p w:rsidR="00225DF1" w:rsidRDefault="00225DF1" w:rsidP="00225DF1">
      <w:pPr>
        <w:spacing w:after="0" w:line="240" w:lineRule="auto"/>
        <w:ind w:firstLine="720"/>
        <w:jc w:val="both"/>
        <w:rPr>
          <w:rFonts w:eastAsia="Times New Roman"/>
          <w:szCs w:val="24"/>
          <w:lang w:eastAsia="lt-LT"/>
        </w:rPr>
      </w:pPr>
      <w:r>
        <w:rPr>
          <w:rFonts w:eastAsia="Times New Roman"/>
          <w:szCs w:val="24"/>
          <w:lang w:eastAsia="lt-LT"/>
        </w:rPr>
        <w:t xml:space="preserve">k – </w:t>
      </w:r>
      <w:r>
        <w:t>reikšmė apskaičiuojama pagal formulę</w:t>
      </w:r>
      <w:r>
        <w:rPr>
          <w:rFonts w:eastAsia="Times New Roman"/>
          <w:szCs w:val="24"/>
          <w:lang w:eastAsia="lt-LT"/>
        </w:rPr>
        <w:t xml:space="preserve">: </w:t>
      </w:r>
    </w:p>
    <w:p w:rsidR="00225DF1" w:rsidRDefault="00225DF1" w:rsidP="00225DF1">
      <w:pPr>
        <w:spacing w:after="0" w:line="240" w:lineRule="auto"/>
        <w:ind w:firstLine="720"/>
        <w:jc w:val="both"/>
        <w:rPr>
          <w:rFonts w:eastAsia="Times New Roman"/>
          <w:szCs w:val="24"/>
          <w:lang w:eastAsia="lt-LT"/>
        </w:rPr>
      </w:pPr>
      <m:oMath>
        <m:r>
          <w:rPr>
            <w:rFonts w:ascii="Cambria Math" w:hAnsi="Cambria Math"/>
          </w:rPr>
          <m:t>k</m:t>
        </m:r>
        <m:r>
          <m:rPr>
            <m:lit/>
            <m:nor/>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m:t>
        </m:r>
        <m:r>
          <m:rPr>
            <m:lit/>
            <m:nor/>
          </m:rPr>
          <w:rPr>
            <w:rFonts w:ascii="Cambria Math" w:hAnsi="Cambria Math"/>
          </w:rPr>
          <m:t>-</m:t>
        </m:r>
        <m:r>
          <w:rPr>
            <w:rFonts w:ascii="Cambria Math" w:hAnsi="Cambria Math"/>
          </w:rPr>
          <m:t>100</m:t>
        </m:r>
      </m:oMath>
      <w:r>
        <w:rPr>
          <w:rFonts w:eastAsia="Times New Roman"/>
          <w:szCs w:val="24"/>
          <w:lang w:eastAsia="lt-LT"/>
        </w:rPr>
        <w:t>, (proc.) kur</w:t>
      </w:r>
    </w:p>
    <w:p w:rsidR="00225DF1" w:rsidRDefault="00225DF1" w:rsidP="00225DF1">
      <w:pPr>
        <w:spacing w:after="0" w:line="240" w:lineRule="auto"/>
        <w:ind w:firstLine="720"/>
        <w:jc w:val="both"/>
        <w:rPr>
          <w:rFonts w:eastAsia="Times New Roman"/>
          <w:szCs w:val="24"/>
          <w:lang w:eastAsia="lt-LT"/>
        </w:rPr>
      </w:pPr>
      <w:proofErr w:type="spellStart"/>
      <w:r>
        <w:rPr>
          <w:rFonts w:eastAsia="Times New Roman"/>
          <w:szCs w:val="24"/>
          <w:lang w:eastAsia="lt-LT"/>
        </w:rPr>
        <w:t>Ind</w:t>
      </w:r>
      <w:r>
        <w:rPr>
          <w:rFonts w:eastAsia="Times New Roman"/>
          <w:szCs w:val="24"/>
          <w:vertAlign w:val="subscript"/>
          <w:lang w:eastAsia="lt-LT"/>
        </w:rPr>
        <w:t>naujausias</w:t>
      </w:r>
      <w:proofErr w:type="spellEnd"/>
      <w:r>
        <w:rPr>
          <w:rFonts w:eastAsia="Times New Roman"/>
          <w:szCs w:val="24"/>
          <w:lang w:eastAsia="lt-LT"/>
        </w:rPr>
        <w:t xml:space="preserve"> – </w:t>
      </w:r>
      <w:r>
        <w:t>kreipimosi dėl įkainių peržiūros išsiuntimo kitai šaliai dieną paskelbtas naujausias pasirinkto indekso dydis;</w:t>
      </w:r>
    </w:p>
    <w:p w:rsidR="00225DF1" w:rsidRDefault="00225DF1" w:rsidP="00225DF1">
      <w:pPr>
        <w:spacing w:after="0" w:line="240" w:lineRule="auto"/>
        <w:ind w:firstLine="720"/>
        <w:jc w:val="both"/>
        <w:rPr>
          <w:rFonts w:eastAsia="Times New Roman"/>
          <w:szCs w:val="24"/>
          <w:lang w:eastAsia="lt-LT"/>
        </w:rPr>
      </w:pPr>
      <w:proofErr w:type="spellStart"/>
      <w:r>
        <w:rPr>
          <w:rFonts w:eastAsia="Times New Roman"/>
          <w:szCs w:val="24"/>
          <w:lang w:eastAsia="lt-LT"/>
        </w:rPr>
        <w:t>Ind</w:t>
      </w:r>
      <w:r>
        <w:rPr>
          <w:rFonts w:eastAsia="Times New Roman"/>
          <w:szCs w:val="24"/>
          <w:vertAlign w:val="subscript"/>
          <w:lang w:eastAsia="lt-LT"/>
        </w:rPr>
        <w:t>pradžia</w:t>
      </w:r>
      <w:proofErr w:type="spellEnd"/>
      <w:r>
        <w:rPr>
          <w:rFonts w:eastAsia="Times New Roman"/>
          <w:szCs w:val="24"/>
          <w:lang w:eastAsia="lt-LT"/>
        </w:rPr>
        <w:t xml:space="preserve"> – </w:t>
      </w:r>
      <w:r>
        <w:t>laikotarpio pradžios datos (mėnesio) pasirinkto indekso dydis</w:t>
      </w:r>
      <w:r>
        <w:rPr>
          <w:rFonts w:eastAsia="Times New Roman"/>
          <w:szCs w:val="24"/>
          <w:lang w:eastAsia="lt-LT"/>
        </w:rPr>
        <w:t xml:space="preserve">. </w:t>
      </w:r>
      <w:r>
        <w:t>Pirmojo perskaičiavimo atveju laikotarpio pradžia yra Preliminariosios sutarties įsigaliojimo dienos mėnuo. Antrojo ir vėlesnių perskaičiavimų atveju laikotarpio pradžia yra paskutinio perskaičiavimo metu naudotos paskelbto atitinkamo indekso reikšmės mėnuo</w:t>
      </w:r>
      <w:r>
        <w:rPr>
          <w:rFonts w:eastAsia="Times New Roman"/>
          <w:szCs w:val="24"/>
          <w:lang w:eastAsia="lt-LT"/>
        </w:rPr>
        <w:t xml:space="preserve">. </w:t>
      </w:r>
    </w:p>
    <w:p w:rsidR="00225DF1" w:rsidRDefault="00225DF1" w:rsidP="00225DF1">
      <w:pPr>
        <w:spacing w:after="0" w:line="240" w:lineRule="auto"/>
        <w:ind w:firstLine="720"/>
        <w:jc w:val="both"/>
        <w:rPr>
          <w:rFonts w:eastAsia="Times New Roman"/>
          <w:szCs w:val="24"/>
          <w:lang w:eastAsia="lt-LT"/>
        </w:rPr>
      </w:pPr>
      <w:r>
        <w:rPr>
          <w:rFonts w:eastAsia="Times New Roman"/>
          <w:szCs w:val="24"/>
          <w:lang w:eastAsia="lt-LT"/>
        </w:rPr>
        <w:t xml:space="preserve">6. </w:t>
      </w:r>
      <w:r>
        <w:t>Skaičiavimams indeksų reikšmės imamos keturių skaitmenų po kablelio tikslumu. Apskaičiuotas pokytis (k) tolesniems skaičiavimams naudojamas suapvalinus iki vieno skaitmens po kablelio, o apskaičiuotas įkainis a1 suapvalinamas iki dviejų skaitmenų po kablelio.</w:t>
      </w:r>
    </w:p>
    <w:p w:rsidR="00225DF1" w:rsidRDefault="00225DF1" w:rsidP="00225DF1">
      <w:pPr>
        <w:spacing w:after="0" w:line="240" w:lineRule="auto"/>
        <w:ind w:firstLine="720"/>
        <w:jc w:val="both"/>
        <w:rPr>
          <w:rFonts w:eastAsia="Times New Roman"/>
          <w:szCs w:val="24"/>
          <w:lang w:eastAsia="lt-LT"/>
        </w:rPr>
      </w:pPr>
      <w:r>
        <w:rPr>
          <w:rFonts w:eastAsia="Times New Roman"/>
          <w:szCs w:val="24"/>
          <w:lang w:eastAsia="lt-LT"/>
        </w:rPr>
        <w:lastRenderedPageBreak/>
        <w:t xml:space="preserve">7.  </w:t>
      </w:r>
      <w:r>
        <w:t>Šalis, siekianti Preliminariosios sutarties įkainių peržiūros, privalo raštu kreiptis į kitą šalį ir prašyme pateikti visą reikalingą informaciją: Preliminariosios sutarties pavadinimą, numerį, datą, neišpirktos Preliminariosios sutarties dalies apimtį, preliminarų Prekių / nuomos objektų / paslaugų, kuriems būtų taikomi perskaičiuoti įkainiai, sąrašą, indekso reikšmes su nuorodomis į viešus šaltinius Valstybės duomenų agentūros Oficialiosios statistikos portale ir kitą perskaičiavimui reikšmingą informaciją. Prašyme šalis neturi teisės nurodyti kito indekso ar prašyti perskaičiavimo pagal kitą indeksą, negu nustatyta šiame papunktyje.</w:t>
      </w:r>
    </w:p>
    <w:p w:rsidR="00225DF1" w:rsidRDefault="00225DF1" w:rsidP="00225DF1">
      <w:pPr>
        <w:spacing w:after="0" w:line="240" w:lineRule="auto"/>
        <w:ind w:firstLine="720"/>
        <w:jc w:val="both"/>
      </w:pPr>
      <w:r>
        <w:rPr>
          <w:rFonts w:eastAsia="Times New Roman"/>
          <w:szCs w:val="24"/>
          <w:lang w:eastAsia="lt-LT"/>
        </w:rPr>
        <w:t xml:space="preserve">8. </w:t>
      </w:r>
      <w:r>
        <w:t>Susitarimas dėl Preliminariosios sutarties įkainių perskaičiavimo turi būti sudarytas per 10 (dešimt) darbo dienų nuo tinkamo prašymo gavimo dienos.</w:t>
      </w:r>
    </w:p>
    <w:p w:rsidR="00225DF1" w:rsidRDefault="00225DF1" w:rsidP="00225DF1">
      <w:pPr>
        <w:spacing w:after="0" w:line="240" w:lineRule="auto"/>
        <w:ind w:firstLine="720"/>
        <w:jc w:val="both"/>
        <w:rPr>
          <w:rFonts w:eastAsia="Times New Roman"/>
          <w:szCs w:val="24"/>
          <w:lang w:eastAsia="lt-LT"/>
        </w:rPr>
      </w:pPr>
      <w:r>
        <w:t>9. Susitarimu dėl įkainių perskaičiavimo šalys neturi teisės keisti šioje Preliminariojoje sutartyje nustatytos perskaičiavimo tvarkos ar kitų Preliminariosios sutarties nuostatų, išskyrus atvejus, kai toks keitimas atliekamas vadovaujantis viešuosius pirkimus reglamentuojančių teisės aktų nuostatomis.</w:t>
      </w:r>
    </w:p>
    <w:p w:rsidR="003B0FDB" w:rsidRDefault="003B0FDB"/>
    <w:sectPr w:rsidR="003B0FDB">
      <w:pgSz w:w="12240" w:h="15840"/>
      <w:pgMar w:top="851"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11203"/>
    <w:multiLevelType w:val="multilevel"/>
    <w:tmpl w:val="5358C8D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57"/>
    <w:rsid w:val="00225DF1"/>
    <w:rsid w:val="003B0FDB"/>
    <w:rsid w:val="00633343"/>
    <w:rsid w:val="006D2057"/>
    <w:rsid w:val="008F234F"/>
    <w:rsid w:val="0091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120E"/>
  <w15:chartTrackingRefBased/>
  <w15:docId w15:val="{EADC8EEF-96EE-4BD4-BCFA-8B1DC98F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DF1"/>
    <w:pPr>
      <w:suppressAutoHyphens/>
      <w:spacing w:after="200" w:line="276" w:lineRule="auto"/>
    </w:pPr>
    <w:rPr>
      <w:rFonts w:ascii="Times New Roman" w:eastAsia="Calibri" w:hAnsi="Times New Roman" w:cs="Times New Roman"/>
      <w:sz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5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3944</Characters>
  <Application>Microsoft Office Word</Application>
  <DocSecurity>0</DocSecurity>
  <Lines>32</Lines>
  <Paragraphs>9</Paragraphs>
  <ScaleCrop>false</ScaleCrop>
  <Company>ITT prie KAM</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Jokūbas Stasiulis</dc:creator>
  <cp:keywords/>
  <dc:description/>
  <cp:lastModifiedBy>Jokūbas Stasiulis</cp:lastModifiedBy>
  <cp:revision>5</cp:revision>
  <dcterms:created xsi:type="dcterms:W3CDTF">2026-04-09T06:49:00Z</dcterms:created>
  <dcterms:modified xsi:type="dcterms:W3CDTF">2026-04-09T07:57:00Z</dcterms:modified>
</cp:coreProperties>
</file>