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92ED" w14:textId="247AF9C3" w:rsidR="00BC1170" w:rsidRPr="00BC1170" w:rsidRDefault="00BC1170" w:rsidP="00893F3F">
      <w:pPr>
        <w:ind w:firstLine="284"/>
        <w:jc w:val="both"/>
        <w:rPr>
          <w:rFonts w:ascii="Times New Roman" w:hAnsi="Times New Roman" w:cs="Times New Roman"/>
          <w:b/>
          <w:bCs/>
        </w:rPr>
      </w:pPr>
      <w:r w:rsidRPr="00BC1170">
        <w:rPr>
          <w:rFonts w:ascii="Times New Roman" w:hAnsi="Times New Roman" w:cs="Times New Roman"/>
          <w:b/>
          <w:bCs/>
        </w:rPr>
        <w:t>Dėl techninės specifikacijos 4 p. reikalavimų:</w:t>
      </w:r>
    </w:p>
    <w:p w14:paraId="06C30DF6" w14:textId="78C9BD31" w:rsidR="00EB6CBF" w:rsidRDefault="00EB6CBF" w:rsidP="00893F3F">
      <w:pPr>
        <w:ind w:firstLine="284"/>
        <w:jc w:val="both"/>
        <w:rPr>
          <w:rFonts w:ascii="Times New Roman" w:hAnsi="Times New Roman" w:cs="Times New Roman"/>
        </w:rPr>
      </w:pPr>
      <w:r>
        <w:rPr>
          <w:rFonts w:ascii="Times New Roman" w:hAnsi="Times New Roman" w:cs="Times New Roman"/>
        </w:rPr>
        <w:t>Paklausime Tie</w:t>
      </w:r>
      <w:r w:rsidR="00285809">
        <w:rPr>
          <w:rFonts w:ascii="Times New Roman" w:hAnsi="Times New Roman" w:cs="Times New Roman"/>
        </w:rPr>
        <w:t>kėjas klausia ar būtų svarstomas pasiūlymas</w:t>
      </w:r>
      <w:r w:rsidR="000A60E9">
        <w:rPr>
          <w:rFonts w:ascii="Times New Roman" w:hAnsi="Times New Roman" w:cs="Times New Roman"/>
        </w:rPr>
        <w:t>, jeigu sistemoje vietoj 4 lazerių būtų siūlomi 8 LED sužadinimo lazeriai</w:t>
      </w:r>
      <w:r w:rsidR="001D1BFB">
        <w:rPr>
          <w:rFonts w:ascii="Times New Roman" w:hAnsi="Times New Roman" w:cs="Times New Roman"/>
        </w:rPr>
        <w:t>, kurių bangų ilgiai: 365, 440, 475, 510, 550, 580, 630</w:t>
      </w:r>
      <w:r w:rsidR="00BF6754">
        <w:rPr>
          <w:rFonts w:ascii="Times New Roman" w:hAnsi="Times New Roman" w:cs="Times New Roman"/>
        </w:rPr>
        <w:t xml:space="preserve"> ir 660 nm.</w:t>
      </w:r>
    </w:p>
    <w:p w14:paraId="677A6212" w14:textId="3A20F704" w:rsidR="00930146" w:rsidRDefault="00930146" w:rsidP="00893F3F">
      <w:pPr>
        <w:ind w:firstLine="284"/>
        <w:jc w:val="both"/>
        <w:rPr>
          <w:rFonts w:ascii="Times New Roman" w:hAnsi="Times New Roman" w:cs="Times New Roman"/>
        </w:rPr>
      </w:pPr>
      <w:r>
        <w:rPr>
          <w:rFonts w:ascii="Times New Roman" w:hAnsi="Times New Roman" w:cs="Times New Roman"/>
        </w:rPr>
        <w:t xml:space="preserve">Techninės specifikacijos (toliau </w:t>
      </w:r>
      <w:r w:rsidR="00EA3868">
        <w:rPr>
          <w:rFonts w:ascii="Times New Roman" w:hAnsi="Times New Roman" w:cs="Times New Roman"/>
        </w:rPr>
        <w:t>–</w:t>
      </w:r>
      <w:r>
        <w:rPr>
          <w:rFonts w:ascii="Times New Roman" w:hAnsi="Times New Roman" w:cs="Times New Roman"/>
        </w:rPr>
        <w:t xml:space="preserve"> TS) 4 p. nustatytas reikalavimas sužadinimo lazeriams yra:</w:t>
      </w:r>
    </w:p>
    <w:tbl>
      <w:tblPr>
        <w:tblW w:w="9067" w:type="dxa"/>
        <w:tblLook w:val="04A0" w:firstRow="1" w:lastRow="0" w:firstColumn="1" w:lastColumn="0" w:noHBand="0" w:noVBand="1"/>
      </w:tblPr>
      <w:tblGrid>
        <w:gridCol w:w="421"/>
        <w:gridCol w:w="1559"/>
        <w:gridCol w:w="7087"/>
      </w:tblGrid>
      <w:tr w:rsidR="00643373" w:rsidRPr="00643373" w14:paraId="5E5367CA" w14:textId="77777777" w:rsidTr="00643373">
        <w:trPr>
          <w:trHeight w:val="340"/>
        </w:trPr>
        <w:tc>
          <w:tcPr>
            <w:tcW w:w="421"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740DFE8E" w14:textId="77777777" w:rsidR="00643373" w:rsidRPr="00643373" w:rsidRDefault="00643373" w:rsidP="00643373">
            <w:pPr>
              <w:jc w:val="center"/>
              <w:rPr>
                <w:rFonts w:ascii="Times New Roman" w:eastAsia="Times New Roman" w:hAnsi="Times New Roman" w:cs="Times New Roman"/>
                <w:kern w:val="0"/>
                <w:lang w:eastAsia="en-GB"/>
                <w14:ligatures w14:val="none"/>
              </w:rPr>
            </w:pPr>
            <w:r w:rsidRPr="00643373">
              <w:rPr>
                <w:rFonts w:ascii="Times New Roman" w:eastAsia="Times New Roman" w:hAnsi="Times New Roman" w:cs="Times New Roman"/>
                <w:kern w:val="0"/>
                <w:lang w:eastAsia="en-GB"/>
                <w14:ligatures w14:val="none"/>
              </w:rPr>
              <w:t>4</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57EB7596" w14:textId="77777777" w:rsidR="00643373" w:rsidRPr="00643373" w:rsidRDefault="00643373" w:rsidP="00643373">
            <w:pPr>
              <w:jc w:val="both"/>
              <w:rPr>
                <w:rFonts w:ascii="Times New Roman" w:eastAsia="Times New Roman" w:hAnsi="Times New Roman" w:cs="Times New Roman"/>
                <w:kern w:val="0"/>
                <w:lang w:eastAsia="en-GB"/>
                <w14:ligatures w14:val="none"/>
              </w:rPr>
            </w:pPr>
            <w:r w:rsidRPr="00643373">
              <w:rPr>
                <w:rFonts w:ascii="Times New Roman" w:eastAsia="Times New Roman" w:hAnsi="Times New Roman" w:cs="Times New Roman"/>
                <w:kern w:val="0"/>
                <w:lang w:eastAsia="en-GB"/>
                <w14:ligatures w14:val="none"/>
              </w:rPr>
              <w:t>Sužadinimas / lazeriai</w:t>
            </w:r>
          </w:p>
        </w:tc>
        <w:tc>
          <w:tcPr>
            <w:tcW w:w="7087" w:type="dxa"/>
            <w:tcBorders>
              <w:top w:val="single" w:sz="4" w:space="0" w:color="auto"/>
              <w:left w:val="nil"/>
              <w:bottom w:val="single" w:sz="4" w:space="0" w:color="auto"/>
              <w:right w:val="single" w:sz="4" w:space="0" w:color="auto"/>
            </w:tcBorders>
            <w:shd w:val="clear" w:color="000000" w:fill="D9D9D9"/>
            <w:hideMark/>
          </w:tcPr>
          <w:p w14:paraId="7F0AD9D3" w14:textId="77777777" w:rsidR="00643373" w:rsidRPr="00643373" w:rsidRDefault="00643373" w:rsidP="00643373">
            <w:pPr>
              <w:jc w:val="both"/>
              <w:rPr>
                <w:rFonts w:ascii="Times New Roman" w:eastAsia="Times New Roman" w:hAnsi="Times New Roman" w:cs="Times New Roman"/>
                <w:kern w:val="0"/>
                <w:lang w:eastAsia="en-GB"/>
                <w14:ligatures w14:val="none"/>
              </w:rPr>
            </w:pPr>
            <w:r w:rsidRPr="00643373">
              <w:rPr>
                <w:rFonts w:ascii="Times New Roman" w:eastAsia="Times New Roman" w:hAnsi="Times New Roman" w:cs="Times New Roman"/>
                <w:kern w:val="0"/>
                <w:lang w:eastAsia="en-GB"/>
                <w14:ligatures w14:val="none"/>
              </w:rPr>
              <w:t>1. Sistema turi būti aprūpinta bent šiais lazeriais:</w:t>
            </w:r>
          </w:p>
        </w:tc>
      </w:tr>
      <w:tr w:rsidR="00643373" w:rsidRPr="00643373" w14:paraId="7BCB8F14" w14:textId="77777777" w:rsidTr="00643373">
        <w:trPr>
          <w:trHeight w:val="340"/>
        </w:trPr>
        <w:tc>
          <w:tcPr>
            <w:tcW w:w="421" w:type="dxa"/>
            <w:vMerge/>
            <w:tcBorders>
              <w:top w:val="single" w:sz="4" w:space="0" w:color="auto"/>
              <w:left w:val="single" w:sz="4" w:space="0" w:color="auto"/>
              <w:bottom w:val="single" w:sz="4" w:space="0" w:color="000000"/>
              <w:right w:val="single" w:sz="4" w:space="0" w:color="auto"/>
            </w:tcBorders>
            <w:vAlign w:val="center"/>
            <w:hideMark/>
          </w:tcPr>
          <w:p w14:paraId="40C19F0D" w14:textId="77777777" w:rsidR="00643373" w:rsidRPr="00643373" w:rsidRDefault="00643373" w:rsidP="00643373">
            <w:pPr>
              <w:rPr>
                <w:rFonts w:ascii="Times New Roman" w:eastAsia="Times New Roman" w:hAnsi="Times New Roman" w:cs="Times New Roman"/>
                <w:kern w:val="0"/>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EFF9A6D" w14:textId="77777777" w:rsidR="00643373" w:rsidRPr="00643373" w:rsidRDefault="00643373" w:rsidP="00643373">
            <w:pPr>
              <w:rPr>
                <w:rFonts w:ascii="Times New Roman" w:eastAsia="Times New Roman" w:hAnsi="Times New Roman" w:cs="Times New Roman"/>
                <w:kern w:val="0"/>
                <w:lang w:eastAsia="en-GB"/>
                <w14:ligatures w14:val="none"/>
              </w:rPr>
            </w:pPr>
          </w:p>
        </w:tc>
        <w:tc>
          <w:tcPr>
            <w:tcW w:w="7087" w:type="dxa"/>
            <w:tcBorders>
              <w:top w:val="nil"/>
              <w:left w:val="nil"/>
              <w:bottom w:val="single" w:sz="4" w:space="0" w:color="auto"/>
              <w:right w:val="single" w:sz="4" w:space="0" w:color="auto"/>
            </w:tcBorders>
            <w:shd w:val="clear" w:color="000000" w:fill="D9D9D9"/>
            <w:hideMark/>
          </w:tcPr>
          <w:p w14:paraId="0ED4263C" w14:textId="77777777" w:rsidR="00643373" w:rsidRPr="00643373" w:rsidRDefault="00643373" w:rsidP="00643373">
            <w:pPr>
              <w:jc w:val="both"/>
              <w:rPr>
                <w:rFonts w:ascii="Times New Roman" w:eastAsia="Times New Roman" w:hAnsi="Times New Roman" w:cs="Times New Roman"/>
                <w:kern w:val="0"/>
                <w:lang w:eastAsia="en-GB"/>
                <w14:ligatures w14:val="none"/>
              </w:rPr>
            </w:pPr>
            <w:r w:rsidRPr="00643373">
              <w:rPr>
                <w:rFonts w:ascii="Times New Roman" w:eastAsia="Times New Roman" w:hAnsi="Times New Roman" w:cs="Times New Roman"/>
                <w:kern w:val="0"/>
                <w:lang w:eastAsia="en-GB"/>
                <w14:ligatures w14:val="none"/>
              </w:rPr>
              <w:t>1.1 405 nm +/- 10 nm, ne mažiau kaip 50 mW,</w:t>
            </w:r>
          </w:p>
        </w:tc>
      </w:tr>
      <w:tr w:rsidR="00643373" w:rsidRPr="00643373" w14:paraId="12444D99" w14:textId="77777777" w:rsidTr="00643373">
        <w:trPr>
          <w:trHeight w:val="340"/>
        </w:trPr>
        <w:tc>
          <w:tcPr>
            <w:tcW w:w="421" w:type="dxa"/>
            <w:vMerge/>
            <w:tcBorders>
              <w:top w:val="single" w:sz="4" w:space="0" w:color="auto"/>
              <w:left w:val="single" w:sz="4" w:space="0" w:color="auto"/>
              <w:bottom w:val="single" w:sz="4" w:space="0" w:color="000000"/>
              <w:right w:val="single" w:sz="4" w:space="0" w:color="auto"/>
            </w:tcBorders>
            <w:vAlign w:val="center"/>
            <w:hideMark/>
          </w:tcPr>
          <w:p w14:paraId="4B3CF6D0" w14:textId="77777777" w:rsidR="00643373" w:rsidRPr="00643373" w:rsidRDefault="00643373" w:rsidP="00643373">
            <w:pPr>
              <w:rPr>
                <w:rFonts w:ascii="Times New Roman" w:eastAsia="Times New Roman" w:hAnsi="Times New Roman" w:cs="Times New Roman"/>
                <w:kern w:val="0"/>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CD56FD6" w14:textId="77777777" w:rsidR="00643373" w:rsidRPr="00643373" w:rsidRDefault="00643373" w:rsidP="00643373">
            <w:pPr>
              <w:rPr>
                <w:rFonts w:ascii="Times New Roman" w:eastAsia="Times New Roman" w:hAnsi="Times New Roman" w:cs="Times New Roman"/>
                <w:kern w:val="0"/>
                <w:lang w:eastAsia="en-GB"/>
                <w14:ligatures w14:val="none"/>
              </w:rPr>
            </w:pPr>
          </w:p>
        </w:tc>
        <w:tc>
          <w:tcPr>
            <w:tcW w:w="7087" w:type="dxa"/>
            <w:tcBorders>
              <w:top w:val="nil"/>
              <w:left w:val="nil"/>
              <w:bottom w:val="single" w:sz="4" w:space="0" w:color="auto"/>
              <w:right w:val="single" w:sz="4" w:space="0" w:color="auto"/>
            </w:tcBorders>
            <w:shd w:val="clear" w:color="000000" w:fill="D9D9D9"/>
            <w:hideMark/>
          </w:tcPr>
          <w:p w14:paraId="233062A0" w14:textId="4D870987" w:rsidR="00643373" w:rsidRPr="00643373" w:rsidRDefault="00643373" w:rsidP="00643373">
            <w:pPr>
              <w:jc w:val="both"/>
              <w:rPr>
                <w:rFonts w:ascii="Times New Roman" w:eastAsia="Times New Roman" w:hAnsi="Times New Roman" w:cs="Times New Roman"/>
                <w:kern w:val="0"/>
                <w:lang w:eastAsia="en-GB"/>
                <w14:ligatures w14:val="none"/>
              </w:rPr>
            </w:pPr>
            <w:r w:rsidRPr="00643373">
              <w:rPr>
                <w:rFonts w:ascii="Times New Roman" w:eastAsia="Times New Roman" w:hAnsi="Times New Roman" w:cs="Times New Roman"/>
                <w:kern w:val="0"/>
                <w:lang w:eastAsia="en-GB"/>
                <w14:ligatures w14:val="none"/>
              </w:rPr>
              <w:t>1.2 488 nm +/- 10 nm, ne mažiau kaip 60</w:t>
            </w:r>
            <w:r w:rsidR="00EA3868">
              <w:rPr>
                <w:rFonts w:ascii="Times New Roman" w:eastAsia="Times New Roman" w:hAnsi="Times New Roman" w:cs="Times New Roman"/>
                <w:kern w:val="0"/>
                <w:lang w:val="lt-LT" w:eastAsia="en-GB"/>
                <w14:ligatures w14:val="none"/>
              </w:rPr>
              <w:t xml:space="preserve"> </w:t>
            </w:r>
            <w:r w:rsidRPr="00643373">
              <w:rPr>
                <w:rFonts w:ascii="Times New Roman" w:eastAsia="Times New Roman" w:hAnsi="Times New Roman" w:cs="Times New Roman"/>
                <w:kern w:val="0"/>
                <w:lang w:eastAsia="en-GB"/>
                <w14:ligatures w14:val="none"/>
              </w:rPr>
              <w:t>mW,</w:t>
            </w:r>
          </w:p>
        </w:tc>
      </w:tr>
      <w:tr w:rsidR="00643373" w:rsidRPr="00643373" w14:paraId="456506F2" w14:textId="77777777" w:rsidTr="00643373">
        <w:trPr>
          <w:trHeight w:val="340"/>
        </w:trPr>
        <w:tc>
          <w:tcPr>
            <w:tcW w:w="421" w:type="dxa"/>
            <w:vMerge/>
            <w:tcBorders>
              <w:top w:val="single" w:sz="4" w:space="0" w:color="auto"/>
              <w:left w:val="single" w:sz="4" w:space="0" w:color="auto"/>
              <w:bottom w:val="single" w:sz="4" w:space="0" w:color="000000"/>
              <w:right w:val="single" w:sz="4" w:space="0" w:color="auto"/>
            </w:tcBorders>
            <w:vAlign w:val="center"/>
            <w:hideMark/>
          </w:tcPr>
          <w:p w14:paraId="6161A645" w14:textId="77777777" w:rsidR="00643373" w:rsidRPr="00643373" w:rsidRDefault="00643373" w:rsidP="00643373">
            <w:pPr>
              <w:rPr>
                <w:rFonts w:ascii="Times New Roman" w:eastAsia="Times New Roman" w:hAnsi="Times New Roman" w:cs="Times New Roman"/>
                <w:kern w:val="0"/>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348E0A" w14:textId="77777777" w:rsidR="00643373" w:rsidRPr="00643373" w:rsidRDefault="00643373" w:rsidP="00643373">
            <w:pPr>
              <w:rPr>
                <w:rFonts w:ascii="Times New Roman" w:eastAsia="Times New Roman" w:hAnsi="Times New Roman" w:cs="Times New Roman"/>
                <w:kern w:val="0"/>
                <w:lang w:eastAsia="en-GB"/>
                <w14:ligatures w14:val="none"/>
              </w:rPr>
            </w:pPr>
          </w:p>
        </w:tc>
        <w:tc>
          <w:tcPr>
            <w:tcW w:w="7087" w:type="dxa"/>
            <w:tcBorders>
              <w:top w:val="nil"/>
              <w:left w:val="nil"/>
              <w:bottom w:val="single" w:sz="4" w:space="0" w:color="auto"/>
              <w:right w:val="single" w:sz="4" w:space="0" w:color="auto"/>
            </w:tcBorders>
            <w:shd w:val="clear" w:color="000000" w:fill="D9D9D9"/>
            <w:hideMark/>
          </w:tcPr>
          <w:p w14:paraId="4D3A01D4" w14:textId="77777777" w:rsidR="00643373" w:rsidRPr="00643373" w:rsidRDefault="00643373" w:rsidP="00643373">
            <w:pPr>
              <w:jc w:val="both"/>
              <w:rPr>
                <w:rFonts w:ascii="Times New Roman" w:eastAsia="Times New Roman" w:hAnsi="Times New Roman" w:cs="Times New Roman"/>
                <w:kern w:val="0"/>
                <w:lang w:eastAsia="en-GB"/>
                <w14:ligatures w14:val="none"/>
              </w:rPr>
            </w:pPr>
            <w:r w:rsidRPr="00643373">
              <w:rPr>
                <w:rFonts w:ascii="Times New Roman" w:eastAsia="Times New Roman" w:hAnsi="Times New Roman" w:cs="Times New Roman"/>
                <w:kern w:val="0"/>
                <w:lang w:eastAsia="en-GB"/>
                <w14:ligatures w14:val="none"/>
              </w:rPr>
              <w:t>1.3 561 nm +/- 10 nm, ne mažiau kaip 50 mW,</w:t>
            </w:r>
          </w:p>
        </w:tc>
      </w:tr>
      <w:tr w:rsidR="00643373" w:rsidRPr="00643373" w14:paraId="2EF78C1A" w14:textId="77777777" w:rsidTr="00643373">
        <w:trPr>
          <w:trHeight w:val="340"/>
        </w:trPr>
        <w:tc>
          <w:tcPr>
            <w:tcW w:w="421" w:type="dxa"/>
            <w:vMerge/>
            <w:tcBorders>
              <w:top w:val="single" w:sz="4" w:space="0" w:color="auto"/>
              <w:left w:val="single" w:sz="4" w:space="0" w:color="auto"/>
              <w:bottom w:val="single" w:sz="4" w:space="0" w:color="000000"/>
              <w:right w:val="single" w:sz="4" w:space="0" w:color="auto"/>
            </w:tcBorders>
            <w:vAlign w:val="center"/>
            <w:hideMark/>
          </w:tcPr>
          <w:p w14:paraId="4FC83F17" w14:textId="77777777" w:rsidR="00643373" w:rsidRPr="00643373" w:rsidRDefault="00643373" w:rsidP="00643373">
            <w:pPr>
              <w:rPr>
                <w:rFonts w:ascii="Times New Roman" w:eastAsia="Times New Roman" w:hAnsi="Times New Roman" w:cs="Times New Roman"/>
                <w:kern w:val="0"/>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02932A4" w14:textId="77777777" w:rsidR="00643373" w:rsidRPr="00643373" w:rsidRDefault="00643373" w:rsidP="00643373">
            <w:pPr>
              <w:rPr>
                <w:rFonts w:ascii="Times New Roman" w:eastAsia="Times New Roman" w:hAnsi="Times New Roman" w:cs="Times New Roman"/>
                <w:kern w:val="0"/>
                <w:lang w:eastAsia="en-GB"/>
                <w14:ligatures w14:val="none"/>
              </w:rPr>
            </w:pPr>
          </w:p>
        </w:tc>
        <w:tc>
          <w:tcPr>
            <w:tcW w:w="7087" w:type="dxa"/>
            <w:tcBorders>
              <w:top w:val="nil"/>
              <w:left w:val="nil"/>
              <w:bottom w:val="single" w:sz="4" w:space="0" w:color="auto"/>
              <w:right w:val="single" w:sz="4" w:space="0" w:color="auto"/>
            </w:tcBorders>
            <w:shd w:val="clear" w:color="000000" w:fill="D9D9D9"/>
            <w:hideMark/>
          </w:tcPr>
          <w:p w14:paraId="57889CE3" w14:textId="77777777" w:rsidR="00643373" w:rsidRPr="00643373" w:rsidRDefault="00643373" w:rsidP="00643373">
            <w:pPr>
              <w:jc w:val="both"/>
              <w:rPr>
                <w:rFonts w:ascii="Times New Roman" w:eastAsia="Times New Roman" w:hAnsi="Times New Roman" w:cs="Times New Roman"/>
                <w:kern w:val="0"/>
                <w:lang w:eastAsia="en-GB"/>
                <w14:ligatures w14:val="none"/>
              </w:rPr>
            </w:pPr>
            <w:r w:rsidRPr="00643373">
              <w:rPr>
                <w:rFonts w:ascii="Times New Roman" w:eastAsia="Times New Roman" w:hAnsi="Times New Roman" w:cs="Times New Roman"/>
                <w:kern w:val="0"/>
                <w:lang w:eastAsia="en-GB"/>
                <w14:ligatures w14:val="none"/>
              </w:rPr>
              <w:t>1.4 640 nm +/- 10 nm, ne mažiau kaip 40 mW.</w:t>
            </w:r>
          </w:p>
        </w:tc>
      </w:tr>
      <w:tr w:rsidR="00643373" w:rsidRPr="00643373" w14:paraId="70E5CB3B" w14:textId="77777777" w:rsidTr="00643373">
        <w:trPr>
          <w:trHeight w:val="680"/>
        </w:trPr>
        <w:tc>
          <w:tcPr>
            <w:tcW w:w="421" w:type="dxa"/>
            <w:vMerge/>
            <w:tcBorders>
              <w:top w:val="single" w:sz="4" w:space="0" w:color="auto"/>
              <w:left w:val="single" w:sz="4" w:space="0" w:color="auto"/>
              <w:bottom w:val="single" w:sz="4" w:space="0" w:color="000000"/>
              <w:right w:val="single" w:sz="4" w:space="0" w:color="auto"/>
            </w:tcBorders>
            <w:vAlign w:val="center"/>
            <w:hideMark/>
          </w:tcPr>
          <w:p w14:paraId="69C6A0E7" w14:textId="77777777" w:rsidR="00643373" w:rsidRPr="00643373" w:rsidRDefault="00643373" w:rsidP="00643373">
            <w:pPr>
              <w:rPr>
                <w:rFonts w:ascii="Times New Roman" w:eastAsia="Times New Roman" w:hAnsi="Times New Roman" w:cs="Times New Roman"/>
                <w:kern w:val="0"/>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17A77F" w14:textId="77777777" w:rsidR="00643373" w:rsidRPr="00643373" w:rsidRDefault="00643373" w:rsidP="00643373">
            <w:pPr>
              <w:rPr>
                <w:rFonts w:ascii="Times New Roman" w:eastAsia="Times New Roman" w:hAnsi="Times New Roman" w:cs="Times New Roman"/>
                <w:kern w:val="0"/>
                <w:lang w:eastAsia="en-GB"/>
                <w14:ligatures w14:val="none"/>
              </w:rPr>
            </w:pPr>
          </w:p>
        </w:tc>
        <w:tc>
          <w:tcPr>
            <w:tcW w:w="7087" w:type="dxa"/>
            <w:tcBorders>
              <w:top w:val="nil"/>
              <w:left w:val="nil"/>
              <w:bottom w:val="single" w:sz="4" w:space="0" w:color="auto"/>
              <w:right w:val="single" w:sz="4" w:space="0" w:color="auto"/>
            </w:tcBorders>
            <w:shd w:val="clear" w:color="000000" w:fill="D9D9D9"/>
            <w:hideMark/>
          </w:tcPr>
          <w:p w14:paraId="1A8163FE" w14:textId="77777777" w:rsidR="00643373" w:rsidRPr="00643373" w:rsidRDefault="00643373" w:rsidP="00643373">
            <w:pPr>
              <w:jc w:val="both"/>
              <w:rPr>
                <w:rFonts w:ascii="Times New Roman" w:eastAsia="Times New Roman" w:hAnsi="Times New Roman" w:cs="Times New Roman"/>
                <w:kern w:val="0"/>
                <w:lang w:eastAsia="en-GB"/>
                <w14:ligatures w14:val="none"/>
              </w:rPr>
            </w:pPr>
            <w:r w:rsidRPr="00643373">
              <w:rPr>
                <w:rFonts w:ascii="Times New Roman" w:eastAsia="Times New Roman" w:hAnsi="Times New Roman" w:cs="Times New Roman"/>
                <w:kern w:val="0"/>
                <w:lang w:eastAsia="en-GB"/>
                <w14:ligatures w14:val="none"/>
              </w:rPr>
              <w:t>2. Sistema turi turėti LED arba lygiaverčio tipo šviesos šaltinį transmisijos režimo vaizdams.</w:t>
            </w:r>
          </w:p>
        </w:tc>
      </w:tr>
    </w:tbl>
    <w:p w14:paraId="0C8A1CD6" w14:textId="442C9E2B" w:rsidR="00930146" w:rsidRDefault="00912DBD" w:rsidP="00893F3F">
      <w:pPr>
        <w:ind w:firstLine="284"/>
        <w:jc w:val="both"/>
        <w:rPr>
          <w:rFonts w:ascii="Times New Roman" w:hAnsi="Times New Roman" w:cs="Times New Roman"/>
        </w:rPr>
      </w:pPr>
      <w:r>
        <w:rPr>
          <w:rFonts w:ascii="Times New Roman" w:hAnsi="Times New Roman" w:cs="Times New Roman"/>
        </w:rPr>
        <w:t>TS sužadinimo lazerimas yra keliamas ne tik bangos ilgio reikalavimas, tačiau ir galios.</w:t>
      </w:r>
      <w:r w:rsidR="00087325">
        <w:rPr>
          <w:rFonts w:ascii="Times New Roman" w:hAnsi="Times New Roman" w:cs="Times New Roman"/>
        </w:rPr>
        <w:t xml:space="preserve"> Iš </w:t>
      </w:r>
      <w:r w:rsidR="00EA3868">
        <w:rPr>
          <w:rFonts w:ascii="Times New Roman" w:hAnsi="Times New Roman" w:cs="Times New Roman"/>
          <w:lang w:val="lt-LT"/>
        </w:rPr>
        <w:t xml:space="preserve">Tiekėjo </w:t>
      </w:r>
      <w:r w:rsidR="00087325">
        <w:rPr>
          <w:rFonts w:ascii="Times New Roman" w:hAnsi="Times New Roman" w:cs="Times New Roman"/>
        </w:rPr>
        <w:t xml:space="preserve">pateiktos informacijos nėra galimybės nustatyti kokio </w:t>
      </w:r>
      <w:r w:rsidR="00A340CF">
        <w:rPr>
          <w:rFonts w:ascii="Times New Roman" w:hAnsi="Times New Roman" w:cs="Times New Roman"/>
        </w:rPr>
        <w:t xml:space="preserve">konkretaus </w:t>
      </w:r>
      <w:r w:rsidR="00087325">
        <w:rPr>
          <w:rFonts w:ascii="Times New Roman" w:hAnsi="Times New Roman" w:cs="Times New Roman"/>
        </w:rPr>
        <w:t xml:space="preserve">gamintojo </w:t>
      </w:r>
      <w:r w:rsidR="00A340CF">
        <w:rPr>
          <w:rFonts w:ascii="Times New Roman" w:hAnsi="Times New Roman" w:cs="Times New Roman"/>
        </w:rPr>
        <w:t xml:space="preserve">modelį Tiekėjas turi omenyje </w:t>
      </w:r>
      <w:r w:rsidR="00E679DA">
        <w:rPr>
          <w:rFonts w:ascii="Times New Roman" w:hAnsi="Times New Roman" w:cs="Times New Roman"/>
        </w:rPr>
        <w:t>prašydamas pateikti vertinimą</w:t>
      </w:r>
      <w:r w:rsidR="00C17259">
        <w:rPr>
          <w:rFonts w:ascii="Times New Roman" w:hAnsi="Times New Roman" w:cs="Times New Roman"/>
        </w:rPr>
        <w:t xml:space="preserve">. </w:t>
      </w:r>
      <w:r w:rsidR="00FF097A">
        <w:rPr>
          <w:rFonts w:ascii="Times New Roman" w:hAnsi="Times New Roman" w:cs="Times New Roman"/>
        </w:rPr>
        <w:t xml:space="preserve">Perkančioji organizacija </w:t>
      </w:r>
      <w:r w:rsidR="001C0351">
        <w:rPr>
          <w:rFonts w:ascii="Times New Roman" w:hAnsi="Times New Roman" w:cs="Times New Roman"/>
        </w:rPr>
        <w:t xml:space="preserve">(toliau </w:t>
      </w:r>
      <w:r w:rsidR="00EA3868">
        <w:rPr>
          <w:rFonts w:ascii="Times New Roman" w:hAnsi="Times New Roman" w:cs="Times New Roman"/>
        </w:rPr>
        <w:t>–</w:t>
      </w:r>
      <w:r w:rsidR="001C0351">
        <w:rPr>
          <w:rFonts w:ascii="Times New Roman" w:hAnsi="Times New Roman" w:cs="Times New Roman"/>
        </w:rPr>
        <w:t xml:space="preserve"> PO) </w:t>
      </w:r>
      <w:r w:rsidR="00FF097A">
        <w:rPr>
          <w:rFonts w:ascii="Times New Roman" w:hAnsi="Times New Roman" w:cs="Times New Roman"/>
        </w:rPr>
        <w:t xml:space="preserve">negali Tiekėjo paklausimo </w:t>
      </w:r>
      <w:r w:rsidR="003C4A20">
        <w:rPr>
          <w:rFonts w:ascii="Times New Roman" w:hAnsi="Times New Roman" w:cs="Times New Roman"/>
        </w:rPr>
        <w:t>į</w:t>
      </w:r>
      <w:r w:rsidR="00FF097A">
        <w:rPr>
          <w:rFonts w:ascii="Times New Roman" w:hAnsi="Times New Roman" w:cs="Times New Roman"/>
        </w:rPr>
        <w:t xml:space="preserve">vertinti </w:t>
      </w:r>
      <w:r w:rsidR="003C4A20">
        <w:rPr>
          <w:rFonts w:ascii="Times New Roman" w:hAnsi="Times New Roman" w:cs="Times New Roman"/>
        </w:rPr>
        <w:t xml:space="preserve">analziuodama tik vieną ar du TS reikalavimus. Tam, kad būtų galima pateikti objektyvų atsakymą Tiekėjas privalo pateikti ne </w:t>
      </w:r>
      <w:r w:rsidR="001C0351">
        <w:rPr>
          <w:rFonts w:ascii="Times New Roman" w:hAnsi="Times New Roman" w:cs="Times New Roman"/>
        </w:rPr>
        <w:t>vieną fragmentą apie atstovaujamo gamintojo d</w:t>
      </w:r>
      <w:r w:rsidR="001C0351" w:rsidRPr="001C0351">
        <w:rPr>
          <w:rFonts w:ascii="Times New Roman" w:hAnsi="Times New Roman" w:cs="Times New Roman"/>
        </w:rPr>
        <w:t>idelio našumo konfokalin</w:t>
      </w:r>
      <w:r w:rsidR="001C0351">
        <w:rPr>
          <w:rFonts w:ascii="Times New Roman" w:hAnsi="Times New Roman" w:cs="Times New Roman"/>
        </w:rPr>
        <w:t>ę</w:t>
      </w:r>
      <w:r w:rsidR="001C0351" w:rsidRPr="001C0351">
        <w:rPr>
          <w:rFonts w:ascii="Times New Roman" w:hAnsi="Times New Roman" w:cs="Times New Roman"/>
        </w:rPr>
        <w:t xml:space="preserve"> vaizdinimo sistem</w:t>
      </w:r>
      <w:r w:rsidR="001C0351">
        <w:rPr>
          <w:rFonts w:ascii="Times New Roman" w:hAnsi="Times New Roman" w:cs="Times New Roman"/>
        </w:rPr>
        <w:t>ą, tačiau pateikti kuo išsamesn</w:t>
      </w:r>
      <w:r w:rsidR="00EA3868">
        <w:rPr>
          <w:rFonts w:ascii="Times New Roman" w:hAnsi="Times New Roman" w:cs="Times New Roman"/>
          <w:lang w:val="lt-LT"/>
        </w:rPr>
        <w:t>ę</w:t>
      </w:r>
      <w:r w:rsidR="001C0351">
        <w:rPr>
          <w:rFonts w:ascii="Times New Roman" w:hAnsi="Times New Roman" w:cs="Times New Roman"/>
        </w:rPr>
        <w:t xml:space="preserve"> informacij</w:t>
      </w:r>
      <w:r w:rsidR="00EA3868">
        <w:rPr>
          <w:rFonts w:ascii="Times New Roman" w:hAnsi="Times New Roman" w:cs="Times New Roman"/>
          <w:lang w:val="lt-LT"/>
        </w:rPr>
        <w:t>ą</w:t>
      </w:r>
      <w:r w:rsidR="001C0351">
        <w:rPr>
          <w:rFonts w:ascii="Times New Roman" w:hAnsi="Times New Roman" w:cs="Times New Roman"/>
        </w:rPr>
        <w:t>.</w:t>
      </w:r>
    </w:p>
    <w:p w14:paraId="591CF262" w14:textId="30B549E0" w:rsidR="001C0351" w:rsidRDefault="001C0351" w:rsidP="00893F3F">
      <w:pPr>
        <w:ind w:firstLine="284"/>
        <w:jc w:val="both"/>
        <w:rPr>
          <w:rFonts w:ascii="Times New Roman" w:hAnsi="Times New Roman" w:cs="Times New Roman"/>
        </w:rPr>
      </w:pPr>
      <w:r>
        <w:rPr>
          <w:rFonts w:ascii="Times New Roman" w:hAnsi="Times New Roman" w:cs="Times New Roman"/>
        </w:rPr>
        <w:t>PO pateikia vertinimą atsižvelgdama tik į ribotą Tiekėjo pateiktą informaciją:</w:t>
      </w:r>
    </w:p>
    <w:p w14:paraId="69F86F14" w14:textId="566CDA35" w:rsidR="003933C1" w:rsidRDefault="005453A6" w:rsidP="00893F3F">
      <w:pPr>
        <w:ind w:firstLine="284"/>
        <w:jc w:val="both"/>
        <w:rPr>
          <w:rFonts w:ascii="Times New Roman" w:hAnsi="Times New Roman" w:cs="Times New Roman"/>
        </w:rPr>
      </w:pPr>
      <w:r>
        <w:rPr>
          <w:rFonts w:ascii="Times New Roman" w:hAnsi="Times New Roman" w:cs="Times New Roman"/>
        </w:rPr>
        <w:t>Visų pirma, p</w:t>
      </w:r>
      <w:r w:rsidR="003933C1">
        <w:rPr>
          <w:rFonts w:ascii="Times New Roman" w:hAnsi="Times New Roman" w:cs="Times New Roman"/>
        </w:rPr>
        <w:t xml:space="preserve">ažymime, kad PO </w:t>
      </w:r>
      <w:r w:rsidR="003E525B">
        <w:rPr>
          <w:rFonts w:ascii="Times New Roman" w:hAnsi="Times New Roman" w:cs="Times New Roman"/>
        </w:rPr>
        <w:t>d</w:t>
      </w:r>
      <w:r w:rsidR="003E525B" w:rsidRPr="001C0351">
        <w:rPr>
          <w:rFonts w:ascii="Times New Roman" w:hAnsi="Times New Roman" w:cs="Times New Roman"/>
        </w:rPr>
        <w:t>idelio našumo konfokalin</w:t>
      </w:r>
      <w:r w:rsidR="003E525B">
        <w:rPr>
          <w:rFonts w:ascii="Times New Roman" w:hAnsi="Times New Roman" w:cs="Times New Roman"/>
        </w:rPr>
        <w:t>ei</w:t>
      </w:r>
      <w:r w:rsidR="003E525B" w:rsidRPr="001C0351">
        <w:rPr>
          <w:rFonts w:ascii="Times New Roman" w:hAnsi="Times New Roman" w:cs="Times New Roman"/>
        </w:rPr>
        <w:t xml:space="preserve"> vaizdinimo sistem</w:t>
      </w:r>
      <w:r w:rsidR="003E525B">
        <w:rPr>
          <w:rFonts w:ascii="Times New Roman" w:hAnsi="Times New Roman" w:cs="Times New Roman"/>
        </w:rPr>
        <w:t xml:space="preserve">ai 4 p. nustatė </w:t>
      </w:r>
      <w:r w:rsidR="00EE2C61">
        <w:rPr>
          <w:rFonts w:ascii="Times New Roman" w:hAnsi="Times New Roman" w:cs="Times New Roman"/>
        </w:rPr>
        <w:t>ne tik atsižvelgdama į konkrečius mokslininkų, kurie dirbs su sistema</w:t>
      </w:r>
      <w:r w:rsidR="006A12EE">
        <w:rPr>
          <w:rFonts w:ascii="Times New Roman" w:hAnsi="Times New Roman" w:cs="Times New Roman"/>
        </w:rPr>
        <w:t>,</w:t>
      </w:r>
      <w:r w:rsidR="00EE2C61">
        <w:rPr>
          <w:rFonts w:ascii="Times New Roman" w:hAnsi="Times New Roman" w:cs="Times New Roman"/>
        </w:rPr>
        <w:t xml:space="preserve"> </w:t>
      </w:r>
      <w:r w:rsidR="003E525B">
        <w:rPr>
          <w:rFonts w:ascii="Times New Roman" w:hAnsi="Times New Roman" w:cs="Times New Roman"/>
        </w:rPr>
        <w:t>poreikius</w:t>
      </w:r>
      <w:r w:rsidR="00237391">
        <w:rPr>
          <w:rFonts w:ascii="Times New Roman" w:hAnsi="Times New Roman" w:cs="Times New Roman"/>
        </w:rPr>
        <w:t xml:space="preserve">, </w:t>
      </w:r>
      <w:r w:rsidR="006A12EE">
        <w:rPr>
          <w:rFonts w:ascii="Times New Roman" w:hAnsi="Times New Roman" w:cs="Times New Roman"/>
        </w:rPr>
        <w:t xml:space="preserve">bet </w:t>
      </w:r>
      <w:r w:rsidR="00237391">
        <w:rPr>
          <w:rFonts w:ascii="Times New Roman" w:hAnsi="Times New Roman" w:cs="Times New Roman"/>
        </w:rPr>
        <w:t xml:space="preserve">atsižvelgdama </w:t>
      </w:r>
      <w:r w:rsidR="006A12EE">
        <w:rPr>
          <w:rFonts w:ascii="Times New Roman" w:hAnsi="Times New Roman" w:cs="Times New Roman"/>
        </w:rPr>
        <w:t xml:space="preserve">ir </w:t>
      </w:r>
      <w:r w:rsidR="00237391">
        <w:rPr>
          <w:rFonts w:ascii="Times New Roman" w:hAnsi="Times New Roman" w:cs="Times New Roman"/>
        </w:rPr>
        <w:t xml:space="preserve">į tiekėjų </w:t>
      </w:r>
      <w:r w:rsidR="00EE2C61">
        <w:rPr>
          <w:rFonts w:ascii="Times New Roman" w:hAnsi="Times New Roman" w:cs="Times New Roman"/>
        </w:rPr>
        <w:t xml:space="preserve">ir / arba gamintojų galimybes pasiūlyti </w:t>
      </w:r>
      <w:r w:rsidR="006A12EE">
        <w:rPr>
          <w:rFonts w:ascii="Times New Roman" w:hAnsi="Times New Roman" w:cs="Times New Roman"/>
        </w:rPr>
        <w:t>poreikius atitinkačias sistemas.</w:t>
      </w:r>
    </w:p>
    <w:p w14:paraId="7ED48509" w14:textId="7E83C374" w:rsidR="006A12EE" w:rsidRDefault="00540D4C" w:rsidP="00893F3F">
      <w:pPr>
        <w:ind w:firstLine="284"/>
        <w:jc w:val="both"/>
        <w:rPr>
          <w:rFonts w:ascii="Times New Roman" w:hAnsi="Times New Roman" w:cs="Times New Roman"/>
        </w:rPr>
      </w:pPr>
      <w:r>
        <w:rPr>
          <w:rFonts w:ascii="Times New Roman" w:hAnsi="Times New Roman" w:cs="Times New Roman"/>
        </w:rPr>
        <w:t>Tiekėjo siūlomi</w:t>
      </w:r>
      <w:r w:rsidR="002D371F">
        <w:rPr>
          <w:rFonts w:ascii="Times New Roman" w:hAnsi="Times New Roman" w:cs="Times New Roman"/>
        </w:rPr>
        <w:t xml:space="preserve"> </w:t>
      </w:r>
      <w:r w:rsidR="00EA3868">
        <w:rPr>
          <w:rFonts w:ascii="Times New Roman" w:hAnsi="Times New Roman" w:cs="Times New Roman"/>
          <w:lang w:val="lt-LT"/>
        </w:rPr>
        <w:t>LED</w:t>
      </w:r>
      <w:r w:rsidR="00EA3868">
        <w:rPr>
          <w:rFonts w:ascii="Times New Roman" w:hAnsi="Times New Roman" w:cs="Times New Roman"/>
        </w:rPr>
        <w:t xml:space="preserve"> </w:t>
      </w:r>
      <w:r w:rsidR="002D371F">
        <w:rPr>
          <w:rFonts w:ascii="Times New Roman" w:hAnsi="Times New Roman" w:cs="Times New Roman"/>
        </w:rPr>
        <w:t xml:space="preserve">bangų ilgiai </w:t>
      </w:r>
      <w:r w:rsidR="005D3C4E">
        <w:rPr>
          <w:rFonts w:ascii="Times New Roman" w:hAnsi="Times New Roman" w:cs="Times New Roman"/>
        </w:rPr>
        <w:t xml:space="preserve">netinka </w:t>
      </w:r>
      <w:r w:rsidR="005D3C4E" w:rsidRPr="005D3C4E">
        <w:rPr>
          <w:rFonts w:ascii="Times New Roman" w:hAnsi="Times New Roman" w:cs="Times New Roman"/>
        </w:rPr>
        <w:t>GFP</w:t>
      </w:r>
      <w:r w:rsidR="00481721">
        <w:rPr>
          <w:rFonts w:ascii="Times New Roman" w:hAnsi="Times New Roman" w:cs="Times New Roman"/>
        </w:rPr>
        <w:t xml:space="preserve">, </w:t>
      </w:r>
      <w:r w:rsidR="005D3C4E" w:rsidRPr="005D3C4E">
        <w:rPr>
          <w:rFonts w:ascii="Times New Roman" w:hAnsi="Times New Roman" w:cs="Times New Roman"/>
        </w:rPr>
        <w:t>FITC</w:t>
      </w:r>
      <w:r w:rsidR="00481721">
        <w:rPr>
          <w:rFonts w:ascii="Times New Roman" w:hAnsi="Times New Roman" w:cs="Times New Roman"/>
        </w:rPr>
        <w:t xml:space="preserve">, </w:t>
      </w:r>
      <w:r w:rsidR="00481721" w:rsidRPr="00481721">
        <w:rPr>
          <w:rFonts w:ascii="Times New Roman" w:hAnsi="Times New Roman" w:cs="Times New Roman"/>
        </w:rPr>
        <w:t>Rhodamine (TRITC, Texas Red)</w:t>
      </w:r>
      <w:r w:rsidR="00481721">
        <w:rPr>
          <w:rFonts w:ascii="Times New Roman" w:hAnsi="Times New Roman" w:cs="Times New Roman"/>
        </w:rPr>
        <w:t xml:space="preserve">, </w:t>
      </w:r>
      <w:r w:rsidR="00481721" w:rsidRPr="00481721">
        <w:rPr>
          <w:rFonts w:ascii="Times New Roman" w:hAnsi="Times New Roman" w:cs="Times New Roman"/>
        </w:rPr>
        <w:t>Cy3</w:t>
      </w:r>
      <w:r w:rsidR="00481721">
        <w:rPr>
          <w:rFonts w:ascii="Times New Roman" w:hAnsi="Times New Roman" w:cs="Times New Roman"/>
        </w:rPr>
        <w:t xml:space="preserve">, </w:t>
      </w:r>
      <w:r w:rsidR="00E75015" w:rsidRPr="00E75015">
        <w:rPr>
          <w:rFonts w:ascii="Times New Roman" w:hAnsi="Times New Roman" w:cs="Times New Roman"/>
        </w:rPr>
        <w:t>TAMRA (Tetramethylrhodamine)</w:t>
      </w:r>
      <w:r w:rsidR="005D3C4E" w:rsidRPr="005D3C4E">
        <w:rPr>
          <w:rFonts w:ascii="Times New Roman" w:hAnsi="Times New Roman" w:cs="Times New Roman"/>
        </w:rPr>
        <w:t xml:space="preserve"> sužadinimui.</w:t>
      </w:r>
      <w:r w:rsidR="00F97640">
        <w:rPr>
          <w:rFonts w:ascii="Times New Roman" w:hAnsi="Times New Roman" w:cs="Times New Roman"/>
        </w:rPr>
        <w:t xml:space="preserve"> Žemiau pateikiame lyginamąją lentelę, kurio</w:t>
      </w:r>
      <w:r w:rsidR="0045282B">
        <w:rPr>
          <w:rFonts w:ascii="Times New Roman" w:hAnsi="Times New Roman" w:cs="Times New Roman"/>
        </w:rPr>
        <w:t>je</w:t>
      </w:r>
      <w:r w:rsidR="00F97640">
        <w:rPr>
          <w:rFonts w:ascii="Times New Roman" w:hAnsi="Times New Roman" w:cs="Times New Roman"/>
        </w:rPr>
        <w:t xml:space="preserve"> detalizuojami </w:t>
      </w:r>
      <w:r w:rsidR="0045282B">
        <w:rPr>
          <w:rFonts w:ascii="Times New Roman" w:hAnsi="Times New Roman" w:cs="Times New Roman"/>
        </w:rPr>
        <w:t xml:space="preserve">TS 4 p. nustatytų bangų ilgių ir Tiekėjo siūlomų bangų ilgių </w:t>
      </w:r>
      <w:r w:rsidR="00BC7960">
        <w:rPr>
          <w:rFonts w:ascii="Times New Roman" w:hAnsi="Times New Roman" w:cs="Times New Roman"/>
        </w:rPr>
        <w:t>praktiniai skirtumai: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3027"/>
        <w:gridCol w:w="4434"/>
      </w:tblGrid>
      <w:tr w:rsidR="00297048" w:rsidRPr="00DD068A" w14:paraId="661AC23E" w14:textId="77777777" w:rsidTr="00067B19">
        <w:trPr>
          <w:tblHeader/>
          <w:tblCellSpacing w:w="15" w:type="dxa"/>
        </w:trPr>
        <w:tc>
          <w:tcPr>
            <w:tcW w:w="1510" w:type="dxa"/>
            <w:vAlign w:val="center"/>
            <w:hideMark/>
          </w:tcPr>
          <w:p w14:paraId="2A0F43BB" w14:textId="77777777" w:rsidR="00DD068A" w:rsidRPr="00DD068A" w:rsidRDefault="00DD068A" w:rsidP="00067B19">
            <w:pPr>
              <w:jc w:val="center"/>
              <w:rPr>
                <w:rFonts w:ascii="Times New Roman" w:hAnsi="Times New Roman" w:cs="Times New Roman"/>
                <w:b/>
                <w:bCs/>
                <w:sz w:val="21"/>
                <w:szCs w:val="21"/>
              </w:rPr>
            </w:pPr>
            <w:r w:rsidRPr="00DD068A">
              <w:rPr>
                <w:rFonts w:ascii="Times New Roman" w:hAnsi="Times New Roman" w:cs="Times New Roman"/>
                <w:b/>
                <w:bCs/>
                <w:sz w:val="21"/>
                <w:szCs w:val="21"/>
              </w:rPr>
              <w:t>Parametras</w:t>
            </w:r>
          </w:p>
        </w:tc>
        <w:tc>
          <w:tcPr>
            <w:tcW w:w="2997" w:type="dxa"/>
            <w:vAlign w:val="center"/>
            <w:hideMark/>
          </w:tcPr>
          <w:p w14:paraId="26A61B6D" w14:textId="77777777" w:rsidR="00DD068A" w:rsidRPr="00DD068A" w:rsidRDefault="00DD068A" w:rsidP="00067B19">
            <w:pPr>
              <w:jc w:val="center"/>
              <w:rPr>
                <w:rFonts w:ascii="Times New Roman" w:hAnsi="Times New Roman" w:cs="Times New Roman"/>
                <w:b/>
                <w:bCs/>
                <w:sz w:val="21"/>
                <w:szCs w:val="21"/>
              </w:rPr>
            </w:pPr>
            <w:r w:rsidRPr="00DD068A">
              <w:rPr>
                <w:rFonts w:ascii="Times New Roman" w:hAnsi="Times New Roman" w:cs="Times New Roman"/>
                <w:b/>
                <w:bCs/>
                <w:sz w:val="21"/>
                <w:szCs w:val="21"/>
              </w:rPr>
              <w:t>Lazeriai (405, 488, 561, 640 nm)</w:t>
            </w:r>
          </w:p>
        </w:tc>
        <w:tc>
          <w:tcPr>
            <w:tcW w:w="0" w:type="auto"/>
            <w:vAlign w:val="center"/>
            <w:hideMark/>
          </w:tcPr>
          <w:p w14:paraId="4D76EACE" w14:textId="332FFFED" w:rsidR="00DD068A" w:rsidRPr="00DD068A" w:rsidRDefault="00EA3868" w:rsidP="00067B19">
            <w:pPr>
              <w:jc w:val="center"/>
              <w:rPr>
                <w:rFonts w:ascii="Times New Roman" w:hAnsi="Times New Roman" w:cs="Times New Roman"/>
                <w:b/>
                <w:bCs/>
                <w:sz w:val="21"/>
                <w:szCs w:val="21"/>
              </w:rPr>
            </w:pPr>
            <w:r>
              <w:rPr>
                <w:rFonts w:ascii="Times New Roman" w:hAnsi="Times New Roman" w:cs="Times New Roman"/>
                <w:b/>
                <w:bCs/>
                <w:sz w:val="21"/>
                <w:szCs w:val="21"/>
                <w:lang w:val="lt-LT"/>
              </w:rPr>
              <w:t>LED</w:t>
            </w:r>
            <w:r w:rsidRPr="00DD068A">
              <w:rPr>
                <w:rFonts w:ascii="Times New Roman" w:hAnsi="Times New Roman" w:cs="Times New Roman"/>
                <w:b/>
                <w:bCs/>
                <w:sz w:val="21"/>
                <w:szCs w:val="21"/>
              </w:rPr>
              <w:t xml:space="preserve"> </w:t>
            </w:r>
            <w:r w:rsidR="00DD068A" w:rsidRPr="00DD068A">
              <w:rPr>
                <w:rFonts w:ascii="Times New Roman" w:hAnsi="Times New Roman" w:cs="Times New Roman"/>
                <w:b/>
                <w:bCs/>
                <w:sz w:val="21"/>
                <w:szCs w:val="21"/>
              </w:rPr>
              <w:t>(365, 440, 475, 510, 550, 580, 630, 660 nm)</w:t>
            </w:r>
          </w:p>
        </w:tc>
      </w:tr>
      <w:tr w:rsidR="00297048" w:rsidRPr="00DD068A" w14:paraId="3ED74934" w14:textId="77777777" w:rsidTr="00067B19">
        <w:trPr>
          <w:tblCellSpacing w:w="15" w:type="dxa"/>
        </w:trPr>
        <w:tc>
          <w:tcPr>
            <w:tcW w:w="1510" w:type="dxa"/>
            <w:vAlign w:val="center"/>
            <w:hideMark/>
          </w:tcPr>
          <w:p w14:paraId="2B9AA376" w14:textId="77777777" w:rsidR="00DD068A" w:rsidRPr="00DD068A" w:rsidRDefault="00DD068A" w:rsidP="00297048">
            <w:pPr>
              <w:rPr>
                <w:rFonts w:ascii="Times New Roman" w:hAnsi="Times New Roman" w:cs="Times New Roman"/>
                <w:sz w:val="21"/>
                <w:szCs w:val="21"/>
              </w:rPr>
            </w:pPr>
            <w:r w:rsidRPr="00DD068A">
              <w:rPr>
                <w:rFonts w:ascii="Times New Roman" w:hAnsi="Times New Roman" w:cs="Times New Roman"/>
                <w:b/>
                <w:bCs/>
                <w:sz w:val="21"/>
                <w:szCs w:val="21"/>
              </w:rPr>
              <w:t>UV spektras</w:t>
            </w:r>
          </w:p>
        </w:tc>
        <w:tc>
          <w:tcPr>
            <w:tcW w:w="2997" w:type="dxa"/>
            <w:vAlign w:val="center"/>
            <w:hideMark/>
          </w:tcPr>
          <w:p w14:paraId="667D9EA9" w14:textId="77777777" w:rsidR="00DD068A" w:rsidRPr="00DD068A" w:rsidRDefault="00DD068A" w:rsidP="00297048">
            <w:pPr>
              <w:jc w:val="both"/>
              <w:rPr>
                <w:rFonts w:ascii="Times New Roman" w:hAnsi="Times New Roman" w:cs="Times New Roman"/>
                <w:sz w:val="21"/>
                <w:szCs w:val="21"/>
              </w:rPr>
            </w:pPr>
            <w:r w:rsidRPr="00DD068A">
              <w:rPr>
                <w:rFonts w:ascii="Times New Roman" w:hAnsi="Times New Roman" w:cs="Times New Roman"/>
                <w:sz w:val="21"/>
                <w:szCs w:val="21"/>
              </w:rPr>
              <w:t>405 nm (tinka DAPI, Hoechst)</w:t>
            </w:r>
          </w:p>
        </w:tc>
        <w:tc>
          <w:tcPr>
            <w:tcW w:w="0" w:type="auto"/>
            <w:vAlign w:val="center"/>
            <w:hideMark/>
          </w:tcPr>
          <w:p w14:paraId="7C3CAD75" w14:textId="491635CF" w:rsidR="00DD068A" w:rsidRPr="00DD068A" w:rsidRDefault="00DD068A" w:rsidP="00297048">
            <w:pPr>
              <w:jc w:val="both"/>
              <w:rPr>
                <w:rFonts w:ascii="Times New Roman" w:hAnsi="Times New Roman" w:cs="Times New Roman"/>
                <w:sz w:val="21"/>
                <w:szCs w:val="21"/>
              </w:rPr>
            </w:pPr>
            <w:r w:rsidRPr="00DD068A">
              <w:rPr>
                <w:rFonts w:ascii="Times New Roman" w:hAnsi="Times New Roman" w:cs="Times New Roman"/>
                <w:sz w:val="21"/>
                <w:szCs w:val="21"/>
              </w:rPr>
              <w:t>365 nm (neefektyvus Hoechst)</w:t>
            </w:r>
          </w:p>
        </w:tc>
      </w:tr>
      <w:tr w:rsidR="00297048" w:rsidRPr="00DD068A" w14:paraId="2827CCCF" w14:textId="77777777" w:rsidTr="00067B19">
        <w:trPr>
          <w:tblCellSpacing w:w="15" w:type="dxa"/>
        </w:trPr>
        <w:tc>
          <w:tcPr>
            <w:tcW w:w="1510" w:type="dxa"/>
            <w:vAlign w:val="center"/>
            <w:hideMark/>
          </w:tcPr>
          <w:p w14:paraId="642038B7" w14:textId="77777777" w:rsidR="00DD068A" w:rsidRPr="00DD068A" w:rsidRDefault="00DD068A" w:rsidP="00297048">
            <w:pPr>
              <w:rPr>
                <w:rFonts w:ascii="Times New Roman" w:hAnsi="Times New Roman" w:cs="Times New Roman"/>
                <w:sz w:val="21"/>
                <w:szCs w:val="21"/>
              </w:rPr>
            </w:pPr>
            <w:r w:rsidRPr="00DD068A">
              <w:rPr>
                <w:rFonts w:ascii="Times New Roman" w:hAnsi="Times New Roman" w:cs="Times New Roman"/>
                <w:b/>
                <w:bCs/>
                <w:sz w:val="21"/>
                <w:szCs w:val="21"/>
              </w:rPr>
              <w:t>Mėlynas spektras</w:t>
            </w:r>
          </w:p>
        </w:tc>
        <w:tc>
          <w:tcPr>
            <w:tcW w:w="2997" w:type="dxa"/>
            <w:vAlign w:val="center"/>
            <w:hideMark/>
          </w:tcPr>
          <w:p w14:paraId="432CA2BE" w14:textId="77777777" w:rsidR="00DD068A" w:rsidRPr="00DD068A" w:rsidRDefault="00DD068A" w:rsidP="00297048">
            <w:pPr>
              <w:jc w:val="both"/>
              <w:rPr>
                <w:rFonts w:ascii="Times New Roman" w:hAnsi="Times New Roman" w:cs="Times New Roman"/>
                <w:sz w:val="21"/>
                <w:szCs w:val="21"/>
              </w:rPr>
            </w:pPr>
            <w:r w:rsidRPr="00DD068A">
              <w:rPr>
                <w:rFonts w:ascii="Times New Roman" w:hAnsi="Times New Roman" w:cs="Times New Roman"/>
                <w:sz w:val="21"/>
                <w:szCs w:val="21"/>
              </w:rPr>
              <w:t>488 nm (tinka GFP, FITC)</w:t>
            </w:r>
          </w:p>
        </w:tc>
        <w:tc>
          <w:tcPr>
            <w:tcW w:w="0" w:type="auto"/>
            <w:vAlign w:val="center"/>
            <w:hideMark/>
          </w:tcPr>
          <w:p w14:paraId="226C19D5" w14:textId="77777777" w:rsidR="00DD068A" w:rsidRPr="00DD068A" w:rsidRDefault="00DD068A" w:rsidP="00297048">
            <w:pPr>
              <w:jc w:val="both"/>
              <w:rPr>
                <w:rFonts w:ascii="Times New Roman" w:hAnsi="Times New Roman" w:cs="Times New Roman"/>
                <w:sz w:val="21"/>
                <w:szCs w:val="21"/>
              </w:rPr>
            </w:pPr>
            <w:r w:rsidRPr="00DD068A">
              <w:rPr>
                <w:rFonts w:ascii="Times New Roman" w:hAnsi="Times New Roman" w:cs="Times New Roman"/>
                <w:sz w:val="21"/>
                <w:szCs w:val="21"/>
              </w:rPr>
              <w:t>Nėra artimo 488 nm (440 ir 475 nm mažiau efektyvūs)</w:t>
            </w:r>
          </w:p>
        </w:tc>
      </w:tr>
      <w:tr w:rsidR="00297048" w:rsidRPr="00DD068A" w14:paraId="7233675D" w14:textId="77777777" w:rsidTr="00067B19">
        <w:trPr>
          <w:tblCellSpacing w:w="15" w:type="dxa"/>
        </w:trPr>
        <w:tc>
          <w:tcPr>
            <w:tcW w:w="1510" w:type="dxa"/>
            <w:vAlign w:val="center"/>
            <w:hideMark/>
          </w:tcPr>
          <w:p w14:paraId="19E8DF2B" w14:textId="77777777" w:rsidR="00DD068A" w:rsidRPr="00DD068A" w:rsidRDefault="00DD068A" w:rsidP="00297048">
            <w:pPr>
              <w:rPr>
                <w:rFonts w:ascii="Times New Roman" w:hAnsi="Times New Roman" w:cs="Times New Roman"/>
                <w:sz w:val="21"/>
                <w:szCs w:val="21"/>
              </w:rPr>
            </w:pPr>
            <w:r w:rsidRPr="00DD068A">
              <w:rPr>
                <w:rFonts w:ascii="Times New Roman" w:hAnsi="Times New Roman" w:cs="Times New Roman"/>
                <w:b/>
                <w:bCs/>
                <w:sz w:val="21"/>
                <w:szCs w:val="21"/>
              </w:rPr>
              <w:t>Žalias spektras</w:t>
            </w:r>
          </w:p>
        </w:tc>
        <w:tc>
          <w:tcPr>
            <w:tcW w:w="2997" w:type="dxa"/>
            <w:vAlign w:val="center"/>
            <w:hideMark/>
          </w:tcPr>
          <w:p w14:paraId="15C6306B" w14:textId="77777777" w:rsidR="00DD068A" w:rsidRPr="00DD068A" w:rsidRDefault="00DD068A" w:rsidP="00297048">
            <w:pPr>
              <w:jc w:val="both"/>
              <w:rPr>
                <w:rFonts w:ascii="Times New Roman" w:hAnsi="Times New Roman" w:cs="Times New Roman"/>
                <w:sz w:val="21"/>
                <w:szCs w:val="21"/>
              </w:rPr>
            </w:pPr>
            <w:r w:rsidRPr="00DD068A">
              <w:rPr>
                <w:rFonts w:ascii="Times New Roman" w:hAnsi="Times New Roman" w:cs="Times New Roman"/>
                <w:sz w:val="21"/>
                <w:szCs w:val="21"/>
              </w:rPr>
              <w:t>561 nm (Rhodamine, Cy3)</w:t>
            </w:r>
          </w:p>
        </w:tc>
        <w:tc>
          <w:tcPr>
            <w:tcW w:w="0" w:type="auto"/>
            <w:vAlign w:val="center"/>
            <w:hideMark/>
          </w:tcPr>
          <w:p w14:paraId="6F3C2A65" w14:textId="77777777" w:rsidR="00DD068A" w:rsidRPr="00DD068A" w:rsidRDefault="00DD068A" w:rsidP="00297048">
            <w:pPr>
              <w:jc w:val="both"/>
              <w:rPr>
                <w:rFonts w:ascii="Times New Roman" w:hAnsi="Times New Roman" w:cs="Times New Roman"/>
                <w:sz w:val="21"/>
                <w:szCs w:val="21"/>
              </w:rPr>
            </w:pPr>
            <w:r w:rsidRPr="00DD068A">
              <w:rPr>
                <w:rFonts w:ascii="Times New Roman" w:hAnsi="Times New Roman" w:cs="Times New Roman"/>
                <w:sz w:val="21"/>
                <w:szCs w:val="21"/>
              </w:rPr>
              <w:t>550 ir 580 nm – per platūs ir neefektyvūs</w:t>
            </w:r>
          </w:p>
        </w:tc>
      </w:tr>
      <w:tr w:rsidR="00297048" w:rsidRPr="00DD068A" w14:paraId="5A03FDB9" w14:textId="77777777" w:rsidTr="00067B19">
        <w:trPr>
          <w:tblCellSpacing w:w="15" w:type="dxa"/>
        </w:trPr>
        <w:tc>
          <w:tcPr>
            <w:tcW w:w="1510" w:type="dxa"/>
            <w:vAlign w:val="center"/>
            <w:hideMark/>
          </w:tcPr>
          <w:p w14:paraId="39115299" w14:textId="77777777" w:rsidR="00DD068A" w:rsidRPr="00DD068A" w:rsidRDefault="00DD068A" w:rsidP="00297048">
            <w:pPr>
              <w:rPr>
                <w:rFonts w:ascii="Times New Roman" w:hAnsi="Times New Roman" w:cs="Times New Roman"/>
                <w:sz w:val="21"/>
                <w:szCs w:val="21"/>
              </w:rPr>
            </w:pPr>
            <w:r w:rsidRPr="00DD068A">
              <w:rPr>
                <w:rFonts w:ascii="Times New Roman" w:hAnsi="Times New Roman" w:cs="Times New Roman"/>
                <w:b/>
                <w:bCs/>
                <w:sz w:val="21"/>
                <w:szCs w:val="21"/>
              </w:rPr>
              <w:t>Raudonas spektras</w:t>
            </w:r>
          </w:p>
        </w:tc>
        <w:tc>
          <w:tcPr>
            <w:tcW w:w="2997" w:type="dxa"/>
            <w:vAlign w:val="center"/>
            <w:hideMark/>
          </w:tcPr>
          <w:p w14:paraId="689A7C24" w14:textId="77777777" w:rsidR="00DD068A" w:rsidRPr="00DD068A" w:rsidRDefault="00DD068A" w:rsidP="00297048">
            <w:pPr>
              <w:jc w:val="both"/>
              <w:rPr>
                <w:rFonts w:ascii="Times New Roman" w:hAnsi="Times New Roman" w:cs="Times New Roman"/>
                <w:sz w:val="21"/>
                <w:szCs w:val="21"/>
              </w:rPr>
            </w:pPr>
            <w:r w:rsidRPr="00DD068A">
              <w:rPr>
                <w:rFonts w:ascii="Times New Roman" w:hAnsi="Times New Roman" w:cs="Times New Roman"/>
                <w:sz w:val="21"/>
                <w:szCs w:val="21"/>
              </w:rPr>
              <w:t>640 nm (Cy5, Alexa Fluor 647)</w:t>
            </w:r>
          </w:p>
        </w:tc>
        <w:tc>
          <w:tcPr>
            <w:tcW w:w="0" w:type="auto"/>
            <w:vAlign w:val="center"/>
            <w:hideMark/>
          </w:tcPr>
          <w:p w14:paraId="099952A3" w14:textId="77777777" w:rsidR="00DD068A" w:rsidRPr="00DD068A" w:rsidRDefault="00DD068A" w:rsidP="00297048">
            <w:pPr>
              <w:jc w:val="both"/>
              <w:rPr>
                <w:rFonts w:ascii="Times New Roman" w:hAnsi="Times New Roman" w:cs="Times New Roman"/>
                <w:sz w:val="21"/>
                <w:szCs w:val="21"/>
              </w:rPr>
            </w:pPr>
            <w:r w:rsidRPr="00DD068A">
              <w:rPr>
                <w:rFonts w:ascii="Times New Roman" w:hAnsi="Times New Roman" w:cs="Times New Roman"/>
                <w:sz w:val="21"/>
                <w:szCs w:val="21"/>
              </w:rPr>
              <w:t>630 nm ir 660 nm – mažiau specifiniai</w:t>
            </w:r>
          </w:p>
        </w:tc>
      </w:tr>
    </w:tbl>
    <w:p w14:paraId="615949CE" w14:textId="438C8466" w:rsidR="002D562D" w:rsidRDefault="002D562D" w:rsidP="002D562D">
      <w:pPr>
        <w:ind w:firstLine="284"/>
        <w:jc w:val="both"/>
        <w:rPr>
          <w:rFonts w:ascii="Times New Roman" w:hAnsi="Times New Roman" w:cs="Times New Roman"/>
        </w:rPr>
      </w:pPr>
      <w:r>
        <w:rPr>
          <w:rFonts w:ascii="Times New Roman" w:hAnsi="Times New Roman" w:cs="Times New Roman"/>
        </w:rPr>
        <w:t>Įvertinus išdėstytus argumentus Tiekėjo atstovaujamo gamintojo d</w:t>
      </w:r>
      <w:r w:rsidRPr="001C0351">
        <w:rPr>
          <w:rFonts w:ascii="Times New Roman" w:hAnsi="Times New Roman" w:cs="Times New Roman"/>
        </w:rPr>
        <w:t>idelio našumo konfokalin</w:t>
      </w:r>
      <w:r>
        <w:rPr>
          <w:rFonts w:ascii="Times New Roman" w:hAnsi="Times New Roman" w:cs="Times New Roman"/>
        </w:rPr>
        <w:t>ė</w:t>
      </w:r>
      <w:r w:rsidRPr="001C0351">
        <w:rPr>
          <w:rFonts w:ascii="Times New Roman" w:hAnsi="Times New Roman" w:cs="Times New Roman"/>
        </w:rPr>
        <w:t xml:space="preserve"> vaizdinimo sistem</w:t>
      </w:r>
      <w:r>
        <w:rPr>
          <w:rFonts w:ascii="Times New Roman" w:hAnsi="Times New Roman" w:cs="Times New Roman"/>
        </w:rPr>
        <w:t>a neatitinka TS 4 p. reikalavimų ir konkrečių PO poreikių, dėl to</w:t>
      </w:r>
      <w:r w:rsidR="00FA37F3">
        <w:rPr>
          <w:rFonts w:ascii="Times New Roman" w:hAnsi="Times New Roman" w:cs="Times New Roman"/>
        </w:rPr>
        <w:t xml:space="preserve">, </w:t>
      </w:r>
      <w:r w:rsidR="00EA3868">
        <w:rPr>
          <w:rFonts w:ascii="Times New Roman" w:hAnsi="Times New Roman" w:cs="Times New Roman"/>
          <w:lang w:val="lt-LT"/>
        </w:rPr>
        <w:t>Tiekėjo</w:t>
      </w:r>
      <w:r>
        <w:rPr>
          <w:rFonts w:ascii="Times New Roman" w:hAnsi="Times New Roman" w:cs="Times New Roman"/>
        </w:rPr>
        <w:t xml:space="preserve"> pasiūlymas būtų atmestas.</w:t>
      </w:r>
    </w:p>
    <w:p w14:paraId="0FEC017B" w14:textId="77777777" w:rsidR="009B3128" w:rsidRDefault="009B3128" w:rsidP="00893F3F">
      <w:pPr>
        <w:ind w:firstLine="284"/>
        <w:jc w:val="both"/>
        <w:rPr>
          <w:rFonts w:ascii="Times New Roman" w:hAnsi="Times New Roman" w:cs="Times New Roman"/>
        </w:rPr>
      </w:pPr>
    </w:p>
    <w:p w14:paraId="18D39733" w14:textId="0F3F9069" w:rsidR="00BC1170" w:rsidRPr="00BC1170" w:rsidRDefault="00BC1170" w:rsidP="00BC1170">
      <w:pPr>
        <w:ind w:firstLine="284"/>
        <w:jc w:val="both"/>
        <w:rPr>
          <w:rFonts w:ascii="Times New Roman" w:hAnsi="Times New Roman" w:cs="Times New Roman"/>
          <w:b/>
          <w:bCs/>
        </w:rPr>
      </w:pPr>
      <w:r w:rsidRPr="00BC1170">
        <w:rPr>
          <w:rFonts w:ascii="Times New Roman" w:hAnsi="Times New Roman" w:cs="Times New Roman"/>
          <w:b/>
          <w:bCs/>
        </w:rPr>
        <w:t xml:space="preserve">Dėl techninės specifikacijos </w:t>
      </w:r>
      <w:r w:rsidR="00FB06CF">
        <w:rPr>
          <w:rFonts w:ascii="Times New Roman" w:hAnsi="Times New Roman" w:cs="Times New Roman"/>
          <w:b/>
          <w:bCs/>
        </w:rPr>
        <w:t>6</w:t>
      </w:r>
      <w:r w:rsidRPr="00BC1170">
        <w:rPr>
          <w:rFonts w:ascii="Times New Roman" w:hAnsi="Times New Roman" w:cs="Times New Roman"/>
          <w:b/>
          <w:bCs/>
        </w:rPr>
        <w:t xml:space="preserve"> p. reikalavimų:</w:t>
      </w:r>
    </w:p>
    <w:p w14:paraId="762DCCE4" w14:textId="7D54E881" w:rsidR="009B38F6" w:rsidRDefault="00AE145A" w:rsidP="008B6AEB">
      <w:pPr>
        <w:ind w:firstLine="284"/>
        <w:jc w:val="both"/>
        <w:rPr>
          <w:rFonts w:ascii="Times New Roman" w:hAnsi="Times New Roman" w:cs="Times New Roman"/>
        </w:rPr>
      </w:pPr>
      <w:r>
        <w:rPr>
          <w:rFonts w:ascii="Times New Roman" w:hAnsi="Times New Roman" w:cs="Times New Roman"/>
        </w:rPr>
        <w:t xml:space="preserve">Tiekėjas </w:t>
      </w:r>
      <w:r w:rsidR="00374226">
        <w:rPr>
          <w:rFonts w:ascii="Times New Roman" w:hAnsi="Times New Roman" w:cs="Times New Roman"/>
        </w:rPr>
        <w:t>kelia klausimą ar būtų svarstytinas pasiūlymas, jei d</w:t>
      </w:r>
      <w:r w:rsidR="00374226" w:rsidRPr="001C0351">
        <w:rPr>
          <w:rFonts w:ascii="Times New Roman" w:hAnsi="Times New Roman" w:cs="Times New Roman"/>
        </w:rPr>
        <w:t>idelio našumo konfokalin</w:t>
      </w:r>
      <w:r w:rsidR="00374226">
        <w:rPr>
          <w:rFonts w:ascii="Times New Roman" w:hAnsi="Times New Roman" w:cs="Times New Roman"/>
        </w:rPr>
        <w:t>ė</w:t>
      </w:r>
      <w:r w:rsidR="00374226" w:rsidRPr="001C0351">
        <w:rPr>
          <w:rFonts w:ascii="Times New Roman" w:hAnsi="Times New Roman" w:cs="Times New Roman"/>
        </w:rPr>
        <w:t xml:space="preserve"> vaizdinimo sistem</w:t>
      </w:r>
      <w:r w:rsidR="00374226">
        <w:rPr>
          <w:rFonts w:ascii="Times New Roman" w:hAnsi="Times New Roman" w:cs="Times New Roman"/>
        </w:rPr>
        <w:t xml:space="preserve">a turėtų </w:t>
      </w:r>
      <w:r w:rsidR="008B6AEB">
        <w:rPr>
          <w:rFonts w:ascii="Times New Roman" w:hAnsi="Times New Roman" w:cs="Times New Roman"/>
        </w:rPr>
        <w:t xml:space="preserve">šiuos emisijos filtrus: </w:t>
      </w:r>
      <w:r w:rsidR="008B6AEB" w:rsidRPr="008B6AEB">
        <w:rPr>
          <w:rFonts w:ascii="Times New Roman" w:hAnsi="Times New Roman" w:cs="Times New Roman"/>
        </w:rPr>
        <w:t>430-500 nm,</w:t>
      </w:r>
      <w:r w:rsidR="008B6AEB">
        <w:rPr>
          <w:rFonts w:ascii="Times New Roman" w:hAnsi="Times New Roman" w:cs="Times New Roman"/>
        </w:rPr>
        <w:t xml:space="preserve"> </w:t>
      </w:r>
      <w:r w:rsidR="008B6AEB" w:rsidRPr="008B6AEB">
        <w:rPr>
          <w:rFonts w:ascii="Times New Roman" w:hAnsi="Times New Roman" w:cs="Times New Roman"/>
        </w:rPr>
        <w:t>460-515 nm,</w:t>
      </w:r>
      <w:r w:rsidR="008B6AEB">
        <w:rPr>
          <w:rFonts w:ascii="Times New Roman" w:hAnsi="Times New Roman" w:cs="Times New Roman"/>
        </w:rPr>
        <w:t xml:space="preserve"> </w:t>
      </w:r>
      <w:r w:rsidR="008B6AEB" w:rsidRPr="008B6AEB">
        <w:rPr>
          <w:rFonts w:ascii="Times New Roman" w:hAnsi="Times New Roman" w:cs="Times New Roman"/>
        </w:rPr>
        <w:t>470-540 nm,</w:t>
      </w:r>
      <w:r w:rsidR="008B6AEB">
        <w:rPr>
          <w:rFonts w:ascii="Times New Roman" w:hAnsi="Times New Roman" w:cs="Times New Roman"/>
        </w:rPr>
        <w:t xml:space="preserve"> </w:t>
      </w:r>
      <w:r w:rsidR="008B6AEB" w:rsidRPr="008B6AEB">
        <w:rPr>
          <w:rFonts w:ascii="Times New Roman" w:hAnsi="Times New Roman" w:cs="Times New Roman"/>
        </w:rPr>
        <w:t>500-550 nm,</w:t>
      </w:r>
      <w:r w:rsidR="008B6AEB">
        <w:rPr>
          <w:rFonts w:ascii="Times New Roman" w:hAnsi="Times New Roman" w:cs="Times New Roman"/>
        </w:rPr>
        <w:t xml:space="preserve"> </w:t>
      </w:r>
      <w:r w:rsidR="008B6AEB" w:rsidRPr="008B6AEB">
        <w:rPr>
          <w:rFonts w:ascii="Times New Roman" w:hAnsi="Times New Roman" w:cs="Times New Roman"/>
        </w:rPr>
        <w:t>515-580 nm,</w:t>
      </w:r>
      <w:r w:rsidR="008B6AEB">
        <w:rPr>
          <w:rFonts w:ascii="Times New Roman" w:hAnsi="Times New Roman" w:cs="Times New Roman"/>
        </w:rPr>
        <w:t xml:space="preserve"> </w:t>
      </w:r>
      <w:r w:rsidR="008B6AEB" w:rsidRPr="008B6AEB">
        <w:rPr>
          <w:rFonts w:ascii="Times New Roman" w:hAnsi="Times New Roman" w:cs="Times New Roman"/>
        </w:rPr>
        <w:t>570-650 nm,</w:t>
      </w:r>
      <w:r w:rsidR="008B6AEB">
        <w:rPr>
          <w:rFonts w:ascii="Times New Roman" w:hAnsi="Times New Roman" w:cs="Times New Roman"/>
        </w:rPr>
        <w:t xml:space="preserve"> </w:t>
      </w:r>
      <w:r w:rsidR="008B6AEB" w:rsidRPr="008B6AEB">
        <w:rPr>
          <w:rFonts w:ascii="Times New Roman" w:hAnsi="Times New Roman" w:cs="Times New Roman"/>
        </w:rPr>
        <w:t>570-620 nm,</w:t>
      </w:r>
      <w:r w:rsidR="008B6AEB">
        <w:rPr>
          <w:rFonts w:ascii="Times New Roman" w:hAnsi="Times New Roman" w:cs="Times New Roman"/>
        </w:rPr>
        <w:t xml:space="preserve"> </w:t>
      </w:r>
      <w:r w:rsidR="008B6AEB" w:rsidRPr="008B6AEB">
        <w:rPr>
          <w:rFonts w:ascii="Times New Roman" w:hAnsi="Times New Roman" w:cs="Times New Roman"/>
        </w:rPr>
        <w:t>600-640 nm,</w:t>
      </w:r>
      <w:r w:rsidR="008B6AEB">
        <w:rPr>
          <w:rFonts w:ascii="Times New Roman" w:hAnsi="Times New Roman" w:cs="Times New Roman"/>
        </w:rPr>
        <w:t xml:space="preserve"> </w:t>
      </w:r>
      <w:r w:rsidR="008B6AEB" w:rsidRPr="008B6AEB">
        <w:rPr>
          <w:rFonts w:ascii="Times New Roman" w:hAnsi="Times New Roman" w:cs="Times New Roman"/>
        </w:rPr>
        <w:t>665-705 nm ir 685-760 nm.</w:t>
      </w:r>
    </w:p>
    <w:p w14:paraId="58139153" w14:textId="1C9D5A7D" w:rsidR="004D597E" w:rsidRDefault="004D597E" w:rsidP="00B95C0E">
      <w:pPr>
        <w:ind w:firstLine="284"/>
        <w:jc w:val="both"/>
        <w:rPr>
          <w:rFonts w:ascii="Times New Roman" w:hAnsi="Times New Roman" w:cs="Times New Roman"/>
        </w:rPr>
      </w:pPr>
      <w:r>
        <w:rPr>
          <w:rFonts w:ascii="Times New Roman" w:hAnsi="Times New Roman" w:cs="Times New Roman"/>
        </w:rPr>
        <w:t xml:space="preserve">Teikėjo siūlomi atstovaujamo gamintojo </w:t>
      </w:r>
      <w:r w:rsidRPr="001C0351">
        <w:rPr>
          <w:rFonts w:ascii="Times New Roman" w:hAnsi="Times New Roman" w:cs="Times New Roman"/>
        </w:rPr>
        <w:t>konfokalin</w:t>
      </w:r>
      <w:r>
        <w:rPr>
          <w:rFonts w:ascii="Times New Roman" w:hAnsi="Times New Roman" w:cs="Times New Roman"/>
        </w:rPr>
        <w:t>ės</w:t>
      </w:r>
      <w:r w:rsidRPr="001C0351">
        <w:rPr>
          <w:rFonts w:ascii="Times New Roman" w:hAnsi="Times New Roman" w:cs="Times New Roman"/>
        </w:rPr>
        <w:t xml:space="preserve"> vaizdinimo sistem</w:t>
      </w:r>
      <w:r>
        <w:rPr>
          <w:rFonts w:ascii="Times New Roman" w:hAnsi="Times New Roman" w:cs="Times New Roman"/>
        </w:rPr>
        <w:t>os emisijos filtrai lyginant su PO nustatytais emisi</w:t>
      </w:r>
      <w:r w:rsidR="00350048">
        <w:rPr>
          <w:rFonts w:ascii="Times New Roman" w:hAnsi="Times New Roman" w:cs="Times New Roman"/>
        </w:rPr>
        <w:t>jos filtrais</w:t>
      </w:r>
      <w:r w:rsidR="00237517">
        <w:rPr>
          <w:rFonts w:ascii="Times New Roman" w:hAnsi="Times New Roman" w:cs="Times New Roman"/>
        </w:rPr>
        <w:t xml:space="preserve"> (</w:t>
      </w:r>
      <w:r w:rsidR="00B95C0E" w:rsidRPr="00B95C0E">
        <w:rPr>
          <w:rFonts w:ascii="Times New Roman" w:hAnsi="Times New Roman" w:cs="Times New Roman"/>
        </w:rPr>
        <w:t>1. 465-480 nm,</w:t>
      </w:r>
      <w:r w:rsidR="00B95C0E">
        <w:rPr>
          <w:rFonts w:ascii="Times New Roman" w:hAnsi="Times New Roman" w:cs="Times New Roman"/>
        </w:rPr>
        <w:t xml:space="preserve"> </w:t>
      </w:r>
      <w:r w:rsidR="00B95C0E" w:rsidRPr="00B95C0E">
        <w:rPr>
          <w:rFonts w:ascii="Times New Roman" w:hAnsi="Times New Roman" w:cs="Times New Roman"/>
        </w:rPr>
        <w:t>2. 465-530 nm,</w:t>
      </w:r>
      <w:r w:rsidR="00B95C0E">
        <w:rPr>
          <w:rFonts w:ascii="Times New Roman" w:hAnsi="Times New Roman" w:cs="Times New Roman"/>
        </w:rPr>
        <w:t xml:space="preserve"> </w:t>
      </w:r>
      <w:r w:rsidR="00B95C0E" w:rsidRPr="00B95C0E">
        <w:rPr>
          <w:rFonts w:ascii="Times New Roman" w:hAnsi="Times New Roman" w:cs="Times New Roman"/>
        </w:rPr>
        <w:t>3. 435-515 nm,</w:t>
      </w:r>
      <w:r w:rsidR="00B95C0E">
        <w:rPr>
          <w:rFonts w:ascii="Times New Roman" w:hAnsi="Times New Roman" w:cs="Times New Roman"/>
        </w:rPr>
        <w:t xml:space="preserve"> </w:t>
      </w:r>
      <w:r w:rsidR="00B95C0E" w:rsidRPr="00B95C0E">
        <w:rPr>
          <w:rFonts w:ascii="Times New Roman" w:hAnsi="Times New Roman" w:cs="Times New Roman"/>
        </w:rPr>
        <w:t xml:space="preserve">4. </w:t>
      </w:r>
      <w:r w:rsidR="00B95C0E" w:rsidRPr="00B95C0E">
        <w:rPr>
          <w:rFonts w:ascii="Times New Roman" w:hAnsi="Times New Roman" w:cs="Times New Roman"/>
        </w:rPr>
        <w:lastRenderedPageBreak/>
        <w:t>500-530 nm,</w:t>
      </w:r>
      <w:r w:rsidR="00B95C0E">
        <w:rPr>
          <w:rFonts w:ascii="Times New Roman" w:hAnsi="Times New Roman" w:cs="Times New Roman"/>
        </w:rPr>
        <w:t xml:space="preserve"> </w:t>
      </w:r>
      <w:r w:rsidR="00B95C0E" w:rsidRPr="00B95C0E">
        <w:rPr>
          <w:rFonts w:ascii="Times New Roman" w:hAnsi="Times New Roman" w:cs="Times New Roman"/>
        </w:rPr>
        <w:t>5. 515-550 nm,</w:t>
      </w:r>
      <w:r w:rsidR="00B95C0E">
        <w:rPr>
          <w:rFonts w:ascii="Times New Roman" w:hAnsi="Times New Roman" w:cs="Times New Roman"/>
        </w:rPr>
        <w:t xml:space="preserve"> </w:t>
      </w:r>
      <w:r w:rsidR="00B95C0E" w:rsidRPr="00B95C0E">
        <w:rPr>
          <w:rFonts w:ascii="Times New Roman" w:hAnsi="Times New Roman" w:cs="Times New Roman"/>
        </w:rPr>
        <w:t>6. 571-596 nm,</w:t>
      </w:r>
      <w:r w:rsidR="00B95C0E">
        <w:rPr>
          <w:rFonts w:ascii="Times New Roman" w:hAnsi="Times New Roman" w:cs="Times New Roman"/>
        </w:rPr>
        <w:t xml:space="preserve"> </w:t>
      </w:r>
      <w:r w:rsidR="00B95C0E" w:rsidRPr="00B95C0E">
        <w:rPr>
          <w:rFonts w:ascii="Times New Roman" w:hAnsi="Times New Roman" w:cs="Times New Roman"/>
        </w:rPr>
        <w:t>7. 605-630 nm,</w:t>
      </w:r>
      <w:r w:rsidR="00B95C0E">
        <w:rPr>
          <w:rFonts w:ascii="Times New Roman" w:hAnsi="Times New Roman" w:cs="Times New Roman"/>
        </w:rPr>
        <w:t xml:space="preserve"> </w:t>
      </w:r>
      <w:r w:rsidR="00B95C0E" w:rsidRPr="00B95C0E">
        <w:rPr>
          <w:rFonts w:ascii="Times New Roman" w:hAnsi="Times New Roman" w:cs="Times New Roman"/>
        </w:rPr>
        <w:t>8. 650-680 nm,</w:t>
      </w:r>
      <w:r w:rsidR="00B95C0E">
        <w:rPr>
          <w:rFonts w:ascii="Times New Roman" w:hAnsi="Times New Roman" w:cs="Times New Roman"/>
        </w:rPr>
        <w:t xml:space="preserve"> </w:t>
      </w:r>
      <w:r w:rsidR="00B95C0E" w:rsidRPr="00B95C0E">
        <w:rPr>
          <w:rFonts w:ascii="Times New Roman" w:hAnsi="Times New Roman" w:cs="Times New Roman"/>
        </w:rPr>
        <w:t>9. 690-720 nm</w:t>
      </w:r>
      <w:r w:rsidR="00237517">
        <w:rPr>
          <w:rFonts w:ascii="Times New Roman" w:hAnsi="Times New Roman" w:cs="Times New Roman"/>
        </w:rPr>
        <w:t>) neatitinka konkrečius mokslininkų, kurie dirbs su sistema, poreikių dėl šių priežasčių:</w:t>
      </w:r>
    </w:p>
    <w:p w14:paraId="6B1BFCEA" w14:textId="0B6825EC" w:rsidR="00237517" w:rsidRPr="00FA39B4" w:rsidRDefault="00D17F6B" w:rsidP="00FA39B4">
      <w:pPr>
        <w:pStyle w:val="ListParagraph"/>
        <w:numPr>
          <w:ilvl w:val="0"/>
          <w:numId w:val="4"/>
        </w:numPr>
        <w:jc w:val="both"/>
        <w:rPr>
          <w:rFonts w:ascii="Times New Roman" w:hAnsi="Times New Roman" w:cs="Times New Roman"/>
        </w:rPr>
      </w:pPr>
      <w:r w:rsidRPr="00FA39B4">
        <w:rPr>
          <w:rFonts w:ascii="Times New Roman" w:hAnsi="Times New Roman" w:cs="Times New Roman"/>
        </w:rPr>
        <w:t>Siauresni filtrai (pvz., 465-480 nm, 571-596 nm) leidžia tiksliau aptikti fluoroforo emisiją, išskiriant ją iš kitų fluoroforų ar aplinkinio autofluorescencijos triukšmo. Jie sumažina signalo ir triukšmo persidengimą, užtikrindami aukštesnį signalų selektyvumą, ypač kai naudojami keli fluoroforai vienu metu.</w:t>
      </w:r>
      <w:r w:rsidR="00344533" w:rsidRPr="00FA39B4">
        <w:rPr>
          <w:rFonts w:ascii="Times New Roman" w:hAnsi="Times New Roman" w:cs="Times New Roman"/>
        </w:rPr>
        <w:t xml:space="preserve"> </w:t>
      </w:r>
      <w:r w:rsidRPr="00FA39B4">
        <w:rPr>
          <w:rFonts w:ascii="Times New Roman" w:hAnsi="Times New Roman" w:cs="Times New Roman"/>
        </w:rPr>
        <w:t>Platūs filtrai (pvz., 430-500 nm, 570-650 nm)</w:t>
      </w:r>
      <w:r w:rsidR="00344533" w:rsidRPr="00FA39B4">
        <w:rPr>
          <w:rFonts w:ascii="Times New Roman" w:hAnsi="Times New Roman" w:cs="Times New Roman"/>
        </w:rPr>
        <w:t xml:space="preserve"> nors ir </w:t>
      </w:r>
      <w:r w:rsidRPr="00FA39B4">
        <w:rPr>
          <w:rFonts w:ascii="Times New Roman" w:hAnsi="Times New Roman" w:cs="Times New Roman"/>
        </w:rPr>
        <w:t>surenka daugiau šviesos, tačiau jie taip pat leidžia persidengti kelių fluoroforų emisijoms, kas sumažina tikslumą ir signalų atskyrimą.</w:t>
      </w:r>
      <w:r w:rsidR="00BB3C34" w:rsidRPr="00FA39B4">
        <w:rPr>
          <w:rFonts w:ascii="Times New Roman" w:hAnsi="Times New Roman" w:cs="Times New Roman"/>
        </w:rPr>
        <w:t xml:space="preserve"> Pvz. GFP emisija (~500-540 nm) gali persidengti su kitais fluoroforais, jei naudojamas platus filtras (pvz., 470-540 nm), tačiau siauras filtras (pvz., 465-480 nm arba 500-530 nm) tiksliai atskiria GFP signalą.</w:t>
      </w:r>
    </w:p>
    <w:p w14:paraId="2D120B15" w14:textId="24E2AC24" w:rsidR="00FD512E" w:rsidRPr="00FA39B4" w:rsidRDefault="00FF0244" w:rsidP="00FA39B4">
      <w:pPr>
        <w:pStyle w:val="ListParagraph"/>
        <w:numPr>
          <w:ilvl w:val="0"/>
          <w:numId w:val="4"/>
        </w:numPr>
        <w:jc w:val="both"/>
        <w:rPr>
          <w:rFonts w:ascii="Times New Roman" w:hAnsi="Times New Roman" w:cs="Times New Roman"/>
        </w:rPr>
      </w:pPr>
      <w:r w:rsidRPr="00FA39B4">
        <w:rPr>
          <w:rFonts w:ascii="Times New Roman" w:hAnsi="Times New Roman" w:cs="Times New Roman"/>
        </w:rPr>
        <w:t>Siauri filtrai užtikrina geresnį skirtingų fluoroforų signalų atskyrimą, kas yra kritiškai svarbu kai atliekama daugialypė fluorescencinė analizė (pvz., GFP, RFP, Cy3, Cy5 vienu metu). Siauri emisijos filtrai leidžia tiksliau užfiksuoti fluoroforo signalą neperduodant nereikalingos šviesos iš kitų spektrinių diapazonų.</w:t>
      </w:r>
      <w:r w:rsidR="001B07EC" w:rsidRPr="00FA39B4">
        <w:rPr>
          <w:rFonts w:ascii="Times New Roman" w:hAnsi="Times New Roman" w:cs="Times New Roman"/>
        </w:rPr>
        <w:t xml:space="preserve"> Tuo tarpu, platūs emisijos filtrai nors leidžia didesnį emisijos persidengimą, </w:t>
      </w:r>
      <w:r w:rsidR="00A25288" w:rsidRPr="00FA39B4">
        <w:rPr>
          <w:rFonts w:ascii="Times New Roman" w:hAnsi="Times New Roman" w:cs="Times New Roman"/>
        </w:rPr>
        <w:t xml:space="preserve">tačiau dėl to yra </w:t>
      </w:r>
      <w:r w:rsidR="001B07EC" w:rsidRPr="00FA39B4">
        <w:rPr>
          <w:rFonts w:ascii="Times New Roman" w:hAnsi="Times New Roman" w:cs="Times New Roman"/>
        </w:rPr>
        <w:t>sunkiau atskirti fluoroforus</w:t>
      </w:r>
      <w:r w:rsidR="00A25288" w:rsidRPr="00FA39B4">
        <w:rPr>
          <w:rFonts w:ascii="Times New Roman" w:hAnsi="Times New Roman" w:cs="Times New Roman"/>
        </w:rPr>
        <w:t xml:space="preserve">. </w:t>
      </w:r>
      <w:r w:rsidR="001B07EC" w:rsidRPr="00FA39B4">
        <w:rPr>
          <w:rFonts w:ascii="Times New Roman" w:hAnsi="Times New Roman" w:cs="Times New Roman"/>
        </w:rPr>
        <w:t>Tai lemia triukšmo padidėjimą ir prastesnį signalo/klaidos santykį.</w:t>
      </w:r>
    </w:p>
    <w:p w14:paraId="15A93B1C" w14:textId="2A598BD5" w:rsidR="00A25288" w:rsidRPr="00FA39B4" w:rsidRDefault="00983BFD" w:rsidP="00FA39B4">
      <w:pPr>
        <w:pStyle w:val="ListParagraph"/>
        <w:numPr>
          <w:ilvl w:val="0"/>
          <w:numId w:val="4"/>
        </w:numPr>
        <w:jc w:val="both"/>
        <w:rPr>
          <w:rFonts w:ascii="Times New Roman" w:hAnsi="Times New Roman" w:cs="Times New Roman"/>
        </w:rPr>
      </w:pPr>
      <w:r w:rsidRPr="00FA39B4">
        <w:rPr>
          <w:rFonts w:ascii="Times New Roman" w:hAnsi="Times New Roman" w:cs="Times New Roman"/>
        </w:rPr>
        <w:t xml:space="preserve">Siauri emisijos filtrai efektyviau fiksuoja tik reikiamą emisijos spektrą, todėl rezultatai tampa jautresni ir tiksliau atspindi fluoroforo intensyvumą, kai tuo tarpu </w:t>
      </w:r>
      <w:r w:rsidR="008E0871" w:rsidRPr="00FA39B4">
        <w:rPr>
          <w:rFonts w:ascii="Times New Roman" w:hAnsi="Times New Roman" w:cs="Times New Roman"/>
        </w:rPr>
        <w:t xml:space="preserve">naudojant </w:t>
      </w:r>
      <w:r w:rsidRPr="00FA39B4">
        <w:rPr>
          <w:rFonts w:ascii="Times New Roman" w:hAnsi="Times New Roman" w:cs="Times New Roman"/>
        </w:rPr>
        <w:t>pla</w:t>
      </w:r>
      <w:r w:rsidR="008E0871" w:rsidRPr="00FA39B4">
        <w:rPr>
          <w:rFonts w:ascii="Times New Roman" w:hAnsi="Times New Roman" w:cs="Times New Roman"/>
        </w:rPr>
        <w:t>čius</w:t>
      </w:r>
      <w:r w:rsidRPr="00FA39B4">
        <w:rPr>
          <w:rFonts w:ascii="Times New Roman" w:hAnsi="Times New Roman" w:cs="Times New Roman"/>
        </w:rPr>
        <w:t xml:space="preserve"> emisijos filtr</w:t>
      </w:r>
      <w:r w:rsidR="008E0871" w:rsidRPr="00FA39B4">
        <w:rPr>
          <w:rFonts w:ascii="Times New Roman" w:hAnsi="Times New Roman" w:cs="Times New Roman"/>
        </w:rPr>
        <w:t>us</w:t>
      </w:r>
      <w:r w:rsidRPr="00FA39B4">
        <w:rPr>
          <w:rFonts w:ascii="Times New Roman" w:hAnsi="Times New Roman" w:cs="Times New Roman"/>
        </w:rPr>
        <w:t>, nors ir surenka</w:t>
      </w:r>
      <w:r w:rsidR="00EA3868">
        <w:rPr>
          <w:rFonts w:ascii="Times New Roman" w:hAnsi="Times New Roman" w:cs="Times New Roman"/>
          <w:lang w:val="lt-LT"/>
        </w:rPr>
        <w:t>ma</w:t>
      </w:r>
      <w:r w:rsidRPr="00FA39B4">
        <w:rPr>
          <w:rFonts w:ascii="Times New Roman" w:hAnsi="Times New Roman" w:cs="Times New Roman"/>
        </w:rPr>
        <w:t xml:space="preserve"> daugiau šviesos, gali būti sunk</w:t>
      </w:r>
      <w:r w:rsidR="008E0871" w:rsidRPr="00FA39B4">
        <w:rPr>
          <w:rFonts w:ascii="Times New Roman" w:hAnsi="Times New Roman" w:cs="Times New Roman"/>
        </w:rPr>
        <w:t>ia</w:t>
      </w:r>
      <w:r w:rsidRPr="00FA39B4">
        <w:rPr>
          <w:rFonts w:ascii="Times New Roman" w:hAnsi="Times New Roman" w:cs="Times New Roman"/>
        </w:rPr>
        <w:t>u tiksliai įvertinti emisijos intensyvumą, nes signalas susimaišo su triukšmu ar kitų fluoroforų emisija.</w:t>
      </w:r>
    </w:p>
    <w:p w14:paraId="6F3DC148" w14:textId="3C927C04" w:rsidR="00523B78" w:rsidRDefault="007B1831" w:rsidP="00CF7D3F">
      <w:pPr>
        <w:ind w:firstLine="284"/>
        <w:jc w:val="both"/>
        <w:rPr>
          <w:rFonts w:ascii="Times New Roman" w:hAnsi="Times New Roman" w:cs="Times New Roman"/>
        </w:rPr>
      </w:pPr>
      <w:r>
        <w:rPr>
          <w:rFonts w:ascii="Times New Roman" w:hAnsi="Times New Roman" w:cs="Times New Roman"/>
        </w:rPr>
        <w:t>Įvertinus išdėstytus argumentus Tiekėjo atstovaujamo gamintojo d</w:t>
      </w:r>
      <w:r w:rsidRPr="001C0351">
        <w:rPr>
          <w:rFonts w:ascii="Times New Roman" w:hAnsi="Times New Roman" w:cs="Times New Roman"/>
        </w:rPr>
        <w:t>idelio našumo konfokalin</w:t>
      </w:r>
      <w:r>
        <w:rPr>
          <w:rFonts w:ascii="Times New Roman" w:hAnsi="Times New Roman" w:cs="Times New Roman"/>
        </w:rPr>
        <w:t>ė</w:t>
      </w:r>
      <w:r w:rsidRPr="001C0351">
        <w:rPr>
          <w:rFonts w:ascii="Times New Roman" w:hAnsi="Times New Roman" w:cs="Times New Roman"/>
        </w:rPr>
        <w:t xml:space="preserve"> vaizdinimo sistem</w:t>
      </w:r>
      <w:r>
        <w:rPr>
          <w:rFonts w:ascii="Times New Roman" w:hAnsi="Times New Roman" w:cs="Times New Roman"/>
        </w:rPr>
        <w:t>a neatitinka TS 6 p. reikalavimų ir konkrečių PO poreikių, dėl to, toks pasiūlymas būtų atmestas.</w:t>
      </w:r>
    </w:p>
    <w:sectPr w:rsidR="00523B78" w:rsidSect="00DD06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0CA5" w14:textId="77777777" w:rsidR="00282BAE" w:rsidRDefault="00282BAE" w:rsidP="009A4B73">
      <w:r>
        <w:separator/>
      </w:r>
    </w:p>
  </w:endnote>
  <w:endnote w:type="continuationSeparator" w:id="0">
    <w:p w14:paraId="199958FD" w14:textId="77777777" w:rsidR="00282BAE" w:rsidRDefault="00282BAE" w:rsidP="009A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F237" w14:textId="77777777" w:rsidR="00282BAE" w:rsidRDefault="00282BAE" w:rsidP="009A4B73">
      <w:r>
        <w:separator/>
      </w:r>
    </w:p>
  </w:footnote>
  <w:footnote w:type="continuationSeparator" w:id="0">
    <w:p w14:paraId="1180ED7D" w14:textId="77777777" w:rsidR="00282BAE" w:rsidRDefault="00282BAE" w:rsidP="009A4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6D1"/>
    <w:multiLevelType w:val="hybridMultilevel"/>
    <w:tmpl w:val="42E00E2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5602D33"/>
    <w:multiLevelType w:val="multilevel"/>
    <w:tmpl w:val="604E0354"/>
    <w:lvl w:ilvl="0">
      <w:start w:val="1"/>
      <w:numFmt w:val="decimal"/>
      <w:lvlText w:val="%1."/>
      <w:lvlJc w:val="left"/>
      <w:pPr>
        <w:ind w:left="720" w:hanging="360"/>
      </w:pPr>
      <w:rPr>
        <w:rFonts w:hint="default"/>
        <w:b/>
        <w:bCs/>
        <w:i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7684D97"/>
    <w:multiLevelType w:val="hybridMultilevel"/>
    <w:tmpl w:val="834EE410"/>
    <w:lvl w:ilvl="0" w:tplc="2CD8C4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6524709E"/>
    <w:multiLevelType w:val="multilevel"/>
    <w:tmpl w:val="46E2BDD6"/>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990787">
    <w:abstractNumId w:val="3"/>
  </w:num>
  <w:num w:numId="2" w16cid:durableId="675496283">
    <w:abstractNumId w:val="0"/>
  </w:num>
  <w:num w:numId="3" w16cid:durableId="1534464252">
    <w:abstractNumId w:val="1"/>
  </w:num>
  <w:num w:numId="4" w16cid:durableId="1142036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73"/>
    <w:rsid w:val="00006ED0"/>
    <w:rsid w:val="000165DC"/>
    <w:rsid w:val="00031A0D"/>
    <w:rsid w:val="00040F1A"/>
    <w:rsid w:val="00050576"/>
    <w:rsid w:val="00066AF5"/>
    <w:rsid w:val="00067B19"/>
    <w:rsid w:val="000738FF"/>
    <w:rsid w:val="00075595"/>
    <w:rsid w:val="000772BE"/>
    <w:rsid w:val="00087325"/>
    <w:rsid w:val="000912E0"/>
    <w:rsid w:val="00093E21"/>
    <w:rsid w:val="000A0AFA"/>
    <w:rsid w:val="000A4D01"/>
    <w:rsid w:val="000A60E9"/>
    <w:rsid w:val="000C5776"/>
    <w:rsid w:val="000C68C4"/>
    <w:rsid w:val="000F7C7D"/>
    <w:rsid w:val="00117D06"/>
    <w:rsid w:val="001742CB"/>
    <w:rsid w:val="001B07EC"/>
    <w:rsid w:val="001B314C"/>
    <w:rsid w:val="001C0351"/>
    <w:rsid w:val="001C19D7"/>
    <w:rsid w:val="001C3D59"/>
    <w:rsid w:val="001D1BFB"/>
    <w:rsid w:val="001E64F1"/>
    <w:rsid w:val="001E6602"/>
    <w:rsid w:val="001F1FA8"/>
    <w:rsid w:val="00201283"/>
    <w:rsid w:val="00207E73"/>
    <w:rsid w:val="00232174"/>
    <w:rsid w:val="00237391"/>
    <w:rsid w:val="00237517"/>
    <w:rsid w:val="0024626E"/>
    <w:rsid w:val="00246A45"/>
    <w:rsid w:val="00265CA5"/>
    <w:rsid w:val="00275E31"/>
    <w:rsid w:val="002761A2"/>
    <w:rsid w:val="0028031C"/>
    <w:rsid w:val="00282BAE"/>
    <w:rsid w:val="0028578F"/>
    <w:rsid w:val="00285809"/>
    <w:rsid w:val="00287C75"/>
    <w:rsid w:val="0029002F"/>
    <w:rsid w:val="00295957"/>
    <w:rsid w:val="00297048"/>
    <w:rsid w:val="002A105E"/>
    <w:rsid w:val="002A560D"/>
    <w:rsid w:val="002C6176"/>
    <w:rsid w:val="002C6BB9"/>
    <w:rsid w:val="002D371F"/>
    <w:rsid w:val="002D562D"/>
    <w:rsid w:val="00302850"/>
    <w:rsid w:val="00303315"/>
    <w:rsid w:val="00304C60"/>
    <w:rsid w:val="00310C2E"/>
    <w:rsid w:val="00316D2B"/>
    <w:rsid w:val="00324FAB"/>
    <w:rsid w:val="00326B14"/>
    <w:rsid w:val="00344533"/>
    <w:rsid w:val="00350048"/>
    <w:rsid w:val="00351CA9"/>
    <w:rsid w:val="003555ED"/>
    <w:rsid w:val="003616D2"/>
    <w:rsid w:val="003636D6"/>
    <w:rsid w:val="003665AF"/>
    <w:rsid w:val="00370F47"/>
    <w:rsid w:val="00374226"/>
    <w:rsid w:val="00386E9F"/>
    <w:rsid w:val="0039098E"/>
    <w:rsid w:val="003933C1"/>
    <w:rsid w:val="003A61CA"/>
    <w:rsid w:val="003A7EDC"/>
    <w:rsid w:val="003C30FF"/>
    <w:rsid w:val="003C3503"/>
    <w:rsid w:val="003C4A20"/>
    <w:rsid w:val="003C642E"/>
    <w:rsid w:val="003E525B"/>
    <w:rsid w:val="004077CB"/>
    <w:rsid w:val="00412DB0"/>
    <w:rsid w:val="00433AD4"/>
    <w:rsid w:val="0045282B"/>
    <w:rsid w:val="00452A8D"/>
    <w:rsid w:val="00455BCE"/>
    <w:rsid w:val="004647A1"/>
    <w:rsid w:val="0046574D"/>
    <w:rsid w:val="00471055"/>
    <w:rsid w:val="00481721"/>
    <w:rsid w:val="00481BDD"/>
    <w:rsid w:val="0049466E"/>
    <w:rsid w:val="004A032D"/>
    <w:rsid w:val="004C6AD9"/>
    <w:rsid w:val="004D24AD"/>
    <w:rsid w:val="004D597E"/>
    <w:rsid w:val="004E5A60"/>
    <w:rsid w:val="004F2EBE"/>
    <w:rsid w:val="004F3473"/>
    <w:rsid w:val="00501F1B"/>
    <w:rsid w:val="00511EEC"/>
    <w:rsid w:val="00513A15"/>
    <w:rsid w:val="0052017E"/>
    <w:rsid w:val="00523B78"/>
    <w:rsid w:val="005317C9"/>
    <w:rsid w:val="00540D4C"/>
    <w:rsid w:val="005453A6"/>
    <w:rsid w:val="005547A8"/>
    <w:rsid w:val="0055715D"/>
    <w:rsid w:val="00565298"/>
    <w:rsid w:val="00566046"/>
    <w:rsid w:val="00574696"/>
    <w:rsid w:val="005966C3"/>
    <w:rsid w:val="005A0C3E"/>
    <w:rsid w:val="005A3A0D"/>
    <w:rsid w:val="005B0503"/>
    <w:rsid w:val="005B304A"/>
    <w:rsid w:val="005B30A6"/>
    <w:rsid w:val="005B7F24"/>
    <w:rsid w:val="005C2A60"/>
    <w:rsid w:val="005C350F"/>
    <w:rsid w:val="005D3C4E"/>
    <w:rsid w:val="005F5586"/>
    <w:rsid w:val="00604B5E"/>
    <w:rsid w:val="00643373"/>
    <w:rsid w:val="00646E69"/>
    <w:rsid w:val="00647AEA"/>
    <w:rsid w:val="006545B5"/>
    <w:rsid w:val="00662E15"/>
    <w:rsid w:val="006650BA"/>
    <w:rsid w:val="00667B38"/>
    <w:rsid w:val="00672C43"/>
    <w:rsid w:val="00690195"/>
    <w:rsid w:val="006A12EE"/>
    <w:rsid w:val="006A5A1C"/>
    <w:rsid w:val="006A6DB1"/>
    <w:rsid w:val="006B0699"/>
    <w:rsid w:val="006B1A46"/>
    <w:rsid w:val="006C3436"/>
    <w:rsid w:val="006F0D89"/>
    <w:rsid w:val="00700404"/>
    <w:rsid w:val="00702C81"/>
    <w:rsid w:val="00712FBF"/>
    <w:rsid w:val="00724B20"/>
    <w:rsid w:val="0073199F"/>
    <w:rsid w:val="00732BCE"/>
    <w:rsid w:val="00734064"/>
    <w:rsid w:val="00737E65"/>
    <w:rsid w:val="00746464"/>
    <w:rsid w:val="00780A9E"/>
    <w:rsid w:val="00784FE7"/>
    <w:rsid w:val="00792911"/>
    <w:rsid w:val="00792D1E"/>
    <w:rsid w:val="007A3CCE"/>
    <w:rsid w:val="007A793A"/>
    <w:rsid w:val="007B0545"/>
    <w:rsid w:val="007B1831"/>
    <w:rsid w:val="007B7543"/>
    <w:rsid w:val="007B7AE9"/>
    <w:rsid w:val="007C2230"/>
    <w:rsid w:val="007C43C0"/>
    <w:rsid w:val="007C747A"/>
    <w:rsid w:val="007D0276"/>
    <w:rsid w:val="008018E7"/>
    <w:rsid w:val="0081658B"/>
    <w:rsid w:val="00820FF1"/>
    <w:rsid w:val="0082146E"/>
    <w:rsid w:val="0082275D"/>
    <w:rsid w:val="008300B8"/>
    <w:rsid w:val="0087117E"/>
    <w:rsid w:val="00893F3F"/>
    <w:rsid w:val="008A0281"/>
    <w:rsid w:val="008B2524"/>
    <w:rsid w:val="008B6AEB"/>
    <w:rsid w:val="008C4269"/>
    <w:rsid w:val="008D5E3A"/>
    <w:rsid w:val="008E0871"/>
    <w:rsid w:val="008E32F4"/>
    <w:rsid w:val="008F3FCE"/>
    <w:rsid w:val="00912DBD"/>
    <w:rsid w:val="00930146"/>
    <w:rsid w:val="00930944"/>
    <w:rsid w:val="00931299"/>
    <w:rsid w:val="00932A78"/>
    <w:rsid w:val="00947343"/>
    <w:rsid w:val="00953EFA"/>
    <w:rsid w:val="00964B27"/>
    <w:rsid w:val="009654F0"/>
    <w:rsid w:val="00983322"/>
    <w:rsid w:val="00983BFD"/>
    <w:rsid w:val="009871A6"/>
    <w:rsid w:val="009874E3"/>
    <w:rsid w:val="00990519"/>
    <w:rsid w:val="009979D0"/>
    <w:rsid w:val="009A3704"/>
    <w:rsid w:val="009A4B73"/>
    <w:rsid w:val="009B3128"/>
    <w:rsid w:val="009B38F6"/>
    <w:rsid w:val="009C7F57"/>
    <w:rsid w:val="009E59D6"/>
    <w:rsid w:val="009E7BD0"/>
    <w:rsid w:val="00A01297"/>
    <w:rsid w:val="00A038F2"/>
    <w:rsid w:val="00A25288"/>
    <w:rsid w:val="00A340CF"/>
    <w:rsid w:val="00A40557"/>
    <w:rsid w:val="00A811C5"/>
    <w:rsid w:val="00AB6A6A"/>
    <w:rsid w:val="00AC2807"/>
    <w:rsid w:val="00AD7B3D"/>
    <w:rsid w:val="00AE145A"/>
    <w:rsid w:val="00AE507B"/>
    <w:rsid w:val="00AF19D6"/>
    <w:rsid w:val="00B050E0"/>
    <w:rsid w:val="00B052CE"/>
    <w:rsid w:val="00B06205"/>
    <w:rsid w:val="00B06EDF"/>
    <w:rsid w:val="00B15CA6"/>
    <w:rsid w:val="00B45258"/>
    <w:rsid w:val="00B47332"/>
    <w:rsid w:val="00B54C36"/>
    <w:rsid w:val="00B64DC1"/>
    <w:rsid w:val="00B669A7"/>
    <w:rsid w:val="00B77D80"/>
    <w:rsid w:val="00B95C0E"/>
    <w:rsid w:val="00B96AF1"/>
    <w:rsid w:val="00B973F5"/>
    <w:rsid w:val="00BB2BEA"/>
    <w:rsid w:val="00BB390A"/>
    <w:rsid w:val="00BB3C34"/>
    <w:rsid w:val="00BB60BB"/>
    <w:rsid w:val="00BC1170"/>
    <w:rsid w:val="00BC7960"/>
    <w:rsid w:val="00BD303A"/>
    <w:rsid w:val="00BD6644"/>
    <w:rsid w:val="00BD7254"/>
    <w:rsid w:val="00BE0686"/>
    <w:rsid w:val="00BF3281"/>
    <w:rsid w:val="00BF51D8"/>
    <w:rsid w:val="00BF6754"/>
    <w:rsid w:val="00C07BE0"/>
    <w:rsid w:val="00C14679"/>
    <w:rsid w:val="00C17259"/>
    <w:rsid w:val="00C2624B"/>
    <w:rsid w:val="00C5348F"/>
    <w:rsid w:val="00C56880"/>
    <w:rsid w:val="00C6362D"/>
    <w:rsid w:val="00C830EC"/>
    <w:rsid w:val="00C9176F"/>
    <w:rsid w:val="00C97167"/>
    <w:rsid w:val="00CA19C8"/>
    <w:rsid w:val="00CA2BD8"/>
    <w:rsid w:val="00CA6E2C"/>
    <w:rsid w:val="00CB350F"/>
    <w:rsid w:val="00CB3C9A"/>
    <w:rsid w:val="00CB5941"/>
    <w:rsid w:val="00CB7016"/>
    <w:rsid w:val="00CC6471"/>
    <w:rsid w:val="00CD0AF7"/>
    <w:rsid w:val="00CD49A7"/>
    <w:rsid w:val="00CE0921"/>
    <w:rsid w:val="00CE26DB"/>
    <w:rsid w:val="00CE7B14"/>
    <w:rsid w:val="00CF33F6"/>
    <w:rsid w:val="00CF3CC3"/>
    <w:rsid w:val="00CF7D3F"/>
    <w:rsid w:val="00D12031"/>
    <w:rsid w:val="00D17F6B"/>
    <w:rsid w:val="00D2531B"/>
    <w:rsid w:val="00D277D4"/>
    <w:rsid w:val="00D3213A"/>
    <w:rsid w:val="00D324F8"/>
    <w:rsid w:val="00D5186B"/>
    <w:rsid w:val="00D66A5F"/>
    <w:rsid w:val="00D83C4E"/>
    <w:rsid w:val="00D91C74"/>
    <w:rsid w:val="00DA5EA3"/>
    <w:rsid w:val="00DB18B1"/>
    <w:rsid w:val="00DB1FF9"/>
    <w:rsid w:val="00DB3D28"/>
    <w:rsid w:val="00DB6B2E"/>
    <w:rsid w:val="00DB6DD8"/>
    <w:rsid w:val="00DD068A"/>
    <w:rsid w:val="00DD363F"/>
    <w:rsid w:val="00DD789E"/>
    <w:rsid w:val="00E06F60"/>
    <w:rsid w:val="00E247DB"/>
    <w:rsid w:val="00E34D51"/>
    <w:rsid w:val="00E47477"/>
    <w:rsid w:val="00E55735"/>
    <w:rsid w:val="00E636DD"/>
    <w:rsid w:val="00E679DA"/>
    <w:rsid w:val="00E73CCE"/>
    <w:rsid w:val="00E74355"/>
    <w:rsid w:val="00E75015"/>
    <w:rsid w:val="00E9790E"/>
    <w:rsid w:val="00EA3868"/>
    <w:rsid w:val="00EA792B"/>
    <w:rsid w:val="00EB48C5"/>
    <w:rsid w:val="00EB6CBF"/>
    <w:rsid w:val="00EC1227"/>
    <w:rsid w:val="00EC7460"/>
    <w:rsid w:val="00EE1F25"/>
    <w:rsid w:val="00EE2C61"/>
    <w:rsid w:val="00EE476B"/>
    <w:rsid w:val="00EF47F5"/>
    <w:rsid w:val="00EF6DBF"/>
    <w:rsid w:val="00F01C52"/>
    <w:rsid w:val="00F10028"/>
    <w:rsid w:val="00F11F34"/>
    <w:rsid w:val="00F208BA"/>
    <w:rsid w:val="00F36B44"/>
    <w:rsid w:val="00F40454"/>
    <w:rsid w:val="00F50C73"/>
    <w:rsid w:val="00F53665"/>
    <w:rsid w:val="00F55099"/>
    <w:rsid w:val="00F6024F"/>
    <w:rsid w:val="00F701C0"/>
    <w:rsid w:val="00F71B7B"/>
    <w:rsid w:val="00F75C72"/>
    <w:rsid w:val="00F828CE"/>
    <w:rsid w:val="00F84FE1"/>
    <w:rsid w:val="00F86BBF"/>
    <w:rsid w:val="00F97640"/>
    <w:rsid w:val="00FA2115"/>
    <w:rsid w:val="00FA37F3"/>
    <w:rsid w:val="00FA39B4"/>
    <w:rsid w:val="00FA5BDA"/>
    <w:rsid w:val="00FB06CF"/>
    <w:rsid w:val="00FB432E"/>
    <w:rsid w:val="00FD512E"/>
    <w:rsid w:val="00FF0244"/>
    <w:rsid w:val="00FF097A"/>
    <w:rsid w:val="00FF63A3"/>
    <w:rsid w:val="00FF69BB"/>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DEF1"/>
  <w15:chartTrackingRefBased/>
  <w15:docId w15:val="{3217C86A-0B19-9D4D-9D6D-D2EBB2A3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B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B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B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B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B73"/>
    <w:rPr>
      <w:rFonts w:eastAsiaTheme="majorEastAsia" w:cstheme="majorBidi"/>
      <w:color w:val="272727" w:themeColor="text1" w:themeTint="D8"/>
    </w:rPr>
  </w:style>
  <w:style w:type="paragraph" w:styleId="Title">
    <w:name w:val="Title"/>
    <w:basedOn w:val="Normal"/>
    <w:next w:val="Normal"/>
    <w:link w:val="TitleChar"/>
    <w:uiPriority w:val="10"/>
    <w:qFormat/>
    <w:rsid w:val="009A4B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B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B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4B73"/>
    <w:rPr>
      <w:i/>
      <w:iCs/>
      <w:color w:val="404040" w:themeColor="text1" w:themeTint="BF"/>
    </w:rPr>
  </w:style>
  <w:style w:type="paragraph" w:styleId="ListParagraph">
    <w:name w:val="List Paragraph"/>
    <w:aliases w:val="lp1,Bullet 1,Use Case List Paragraph,Numbering,ERP-List Paragraph,List Paragraph11,List Paragraph Red,List Paragraph21,Table of contents numbered,List Paragraph2,List Paragraph111,Medium Grid 1 - Accent 21,Buletai,Sąrašo pastraipa1"/>
    <w:basedOn w:val="Normal"/>
    <w:link w:val="ListParagraphChar"/>
    <w:qFormat/>
    <w:rsid w:val="009A4B73"/>
    <w:pPr>
      <w:ind w:left="720"/>
      <w:contextualSpacing/>
    </w:pPr>
  </w:style>
  <w:style w:type="character" w:styleId="IntenseEmphasis">
    <w:name w:val="Intense Emphasis"/>
    <w:basedOn w:val="DefaultParagraphFont"/>
    <w:uiPriority w:val="21"/>
    <w:qFormat/>
    <w:rsid w:val="009A4B73"/>
    <w:rPr>
      <w:i/>
      <w:iCs/>
      <w:color w:val="0F4761" w:themeColor="accent1" w:themeShade="BF"/>
    </w:rPr>
  </w:style>
  <w:style w:type="paragraph" w:styleId="IntenseQuote">
    <w:name w:val="Intense Quote"/>
    <w:basedOn w:val="Normal"/>
    <w:next w:val="Normal"/>
    <w:link w:val="IntenseQuoteChar"/>
    <w:uiPriority w:val="30"/>
    <w:qFormat/>
    <w:rsid w:val="009A4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B73"/>
    <w:rPr>
      <w:i/>
      <w:iCs/>
      <w:color w:val="0F4761" w:themeColor="accent1" w:themeShade="BF"/>
    </w:rPr>
  </w:style>
  <w:style w:type="character" w:styleId="IntenseReference">
    <w:name w:val="Intense Reference"/>
    <w:basedOn w:val="DefaultParagraphFont"/>
    <w:uiPriority w:val="32"/>
    <w:qFormat/>
    <w:rsid w:val="009A4B73"/>
    <w:rPr>
      <w:b/>
      <w:bCs/>
      <w:smallCaps/>
      <w:color w:val="0F4761" w:themeColor="accent1" w:themeShade="BF"/>
      <w:spacing w:val="5"/>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etai Char"/>
    <w:link w:val="ListParagraph"/>
    <w:qFormat/>
    <w:locked/>
    <w:rsid w:val="009A4B73"/>
  </w:style>
  <w:style w:type="character" w:styleId="Hyperlink">
    <w:name w:val="Hyperlink"/>
    <w:uiPriority w:val="99"/>
    <w:rsid w:val="009A4B73"/>
    <w:rPr>
      <w:color w:val="0000FF"/>
      <w:u w:val="single"/>
    </w:rPr>
  </w:style>
  <w:style w:type="paragraph" w:styleId="FootnoteText">
    <w:name w:val="footnote text"/>
    <w:basedOn w:val="Normal"/>
    <w:link w:val="FootnoteTextChar"/>
    <w:uiPriority w:val="99"/>
    <w:unhideWhenUsed/>
    <w:rsid w:val="009A4B73"/>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uiPriority w:val="99"/>
    <w:rsid w:val="009A4B73"/>
    <w:rPr>
      <w:rFonts w:ascii="Times New Roman" w:eastAsia="Times New Roman" w:hAnsi="Times New Roman" w:cs="Times New Roman"/>
      <w:kern w:val="0"/>
      <w:sz w:val="20"/>
      <w:szCs w:val="20"/>
      <w:lang w:val="en-GB"/>
      <w14:ligatures w14:val="none"/>
    </w:rPr>
  </w:style>
  <w:style w:type="character" w:styleId="FootnoteReference">
    <w:name w:val="footnote reference"/>
    <w:uiPriority w:val="99"/>
    <w:unhideWhenUsed/>
    <w:rsid w:val="009A4B73"/>
    <w:rPr>
      <w:vertAlign w:val="superscript"/>
    </w:rPr>
  </w:style>
  <w:style w:type="character" w:styleId="FollowedHyperlink">
    <w:name w:val="FollowedHyperlink"/>
    <w:basedOn w:val="DefaultParagraphFont"/>
    <w:uiPriority w:val="99"/>
    <w:semiHidden/>
    <w:unhideWhenUsed/>
    <w:rsid w:val="00792D1E"/>
    <w:rPr>
      <w:color w:val="96607D" w:themeColor="followedHyperlink"/>
      <w:u w:val="single"/>
    </w:rPr>
  </w:style>
  <w:style w:type="character" w:styleId="CommentReference">
    <w:name w:val="annotation reference"/>
    <w:basedOn w:val="DefaultParagraphFont"/>
    <w:uiPriority w:val="99"/>
    <w:semiHidden/>
    <w:unhideWhenUsed/>
    <w:rsid w:val="001C19D7"/>
    <w:rPr>
      <w:sz w:val="16"/>
      <w:szCs w:val="16"/>
    </w:rPr>
  </w:style>
  <w:style w:type="paragraph" w:styleId="CommentText">
    <w:name w:val="annotation text"/>
    <w:basedOn w:val="Normal"/>
    <w:link w:val="CommentTextChar"/>
    <w:uiPriority w:val="99"/>
    <w:semiHidden/>
    <w:unhideWhenUsed/>
    <w:rsid w:val="001C19D7"/>
    <w:rPr>
      <w:sz w:val="20"/>
      <w:szCs w:val="20"/>
    </w:rPr>
  </w:style>
  <w:style w:type="character" w:customStyle="1" w:styleId="CommentTextChar">
    <w:name w:val="Comment Text Char"/>
    <w:basedOn w:val="DefaultParagraphFont"/>
    <w:link w:val="CommentText"/>
    <w:uiPriority w:val="99"/>
    <w:semiHidden/>
    <w:rsid w:val="001C19D7"/>
    <w:rPr>
      <w:sz w:val="20"/>
      <w:szCs w:val="20"/>
    </w:rPr>
  </w:style>
  <w:style w:type="paragraph" w:styleId="CommentSubject">
    <w:name w:val="annotation subject"/>
    <w:basedOn w:val="CommentText"/>
    <w:next w:val="CommentText"/>
    <w:link w:val="CommentSubjectChar"/>
    <w:uiPriority w:val="99"/>
    <w:semiHidden/>
    <w:unhideWhenUsed/>
    <w:rsid w:val="001C19D7"/>
    <w:rPr>
      <w:b/>
      <w:bCs/>
    </w:rPr>
  </w:style>
  <w:style w:type="character" w:customStyle="1" w:styleId="CommentSubjectChar">
    <w:name w:val="Comment Subject Char"/>
    <w:basedOn w:val="CommentTextChar"/>
    <w:link w:val="CommentSubject"/>
    <w:uiPriority w:val="99"/>
    <w:semiHidden/>
    <w:rsid w:val="001C19D7"/>
    <w:rPr>
      <w:b/>
      <w:bCs/>
      <w:sz w:val="20"/>
      <w:szCs w:val="20"/>
    </w:rPr>
  </w:style>
  <w:style w:type="paragraph" w:styleId="Revision">
    <w:name w:val="Revision"/>
    <w:hidden/>
    <w:uiPriority w:val="99"/>
    <w:semiHidden/>
    <w:rsid w:val="00E55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8024">
      <w:bodyDiv w:val="1"/>
      <w:marLeft w:val="0"/>
      <w:marRight w:val="0"/>
      <w:marTop w:val="0"/>
      <w:marBottom w:val="0"/>
      <w:divBdr>
        <w:top w:val="none" w:sz="0" w:space="0" w:color="auto"/>
        <w:left w:val="none" w:sz="0" w:space="0" w:color="auto"/>
        <w:bottom w:val="none" w:sz="0" w:space="0" w:color="auto"/>
        <w:right w:val="none" w:sz="0" w:space="0" w:color="auto"/>
      </w:divBdr>
    </w:div>
    <w:div w:id="155997415">
      <w:bodyDiv w:val="1"/>
      <w:marLeft w:val="0"/>
      <w:marRight w:val="0"/>
      <w:marTop w:val="0"/>
      <w:marBottom w:val="0"/>
      <w:divBdr>
        <w:top w:val="none" w:sz="0" w:space="0" w:color="auto"/>
        <w:left w:val="none" w:sz="0" w:space="0" w:color="auto"/>
        <w:bottom w:val="none" w:sz="0" w:space="0" w:color="auto"/>
        <w:right w:val="none" w:sz="0" w:space="0" w:color="auto"/>
      </w:divBdr>
    </w:div>
    <w:div w:id="204215016">
      <w:bodyDiv w:val="1"/>
      <w:marLeft w:val="0"/>
      <w:marRight w:val="0"/>
      <w:marTop w:val="0"/>
      <w:marBottom w:val="0"/>
      <w:divBdr>
        <w:top w:val="none" w:sz="0" w:space="0" w:color="auto"/>
        <w:left w:val="none" w:sz="0" w:space="0" w:color="auto"/>
        <w:bottom w:val="none" w:sz="0" w:space="0" w:color="auto"/>
        <w:right w:val="none" w:sz="0" w:space="0" w:color="auto"/>
      </w:divBdr>
    </w:div>
    <w:div w:id="425881334">
      <w:bodyDiv w:val="1"/>
      <w:marLeft w:val="0"/>
      <w:marRight w:val="0"/>
      <w:marTop w:val="0"/>
      <w:marBottom w:val="0"/>
      <w:divBdr>
        <w:top w:val="none" w:sz="0" w:space="0" w:color="auto"/>
        <w:left w:val="none" w:sz="0" w:space="0" w:color="auto"/>
        <w:bottom w:val="none" w:sz="0" w:space="0" w:color="auto"/>
        <w:right w:val="none" w:sz="0" w:space="0" w:color="auto"/>
      </w:divBdr>
    </w:div>
    <w:div w:id="513882775">
      <w:bodyDiv w:val="1"/>
      <w:marLeft w:val="0"/>
      <w:marRight w:val="0"/>
      <w:marTop w:val="0"/>
      <w:marBottom w:val="0"/>
      <w:divBdr>
        <w:top w:val="none" w:sz="0" w:space="0" w:color="auto"/>
        <w:left w:val="none" w:sz="0" w:space="0" w:color="auto"/>
        <w:bottom w:val="none" w:sz="0" w:space="0" w:color="auto"/>
        <w:right w:val="none" w:sz="0" w:space="0" w:color="auto"/>
      </w:divBdr>
    </w:div>
    <w:div w:id="586617479">
      <w:bodyDiv w:val="1"/>
      <w:marLeft w:val="0"/>
      <w:marRight w:val="0"/>
      <w:marTop w:val="0"/>
      <w:marBottom w:val="0"/>
      <w:divBdr>
        <w:top w:val="none" w:sz="0" w:space="0" w:color="auto"/>
        <w:left w:val="none" w:sz="0" w:space="0" w:color="auto"/>
        <w:bottom w:val="none" w:sz="0" w:space="0" w:color="auto"/>
        <w:right w:val="none" w:sz="0" w:space="0" w:color="auto"/>
      </w:divBdr>
    </w:div>
    <w:div w:id="612371996">
      <w:bodyDiv w:val="1"/>
      <w:marLeft w:val="0"/>
      <w:marRight w:val="0"/>
      <w:marTop w:val="0"/>
      <w:marBottom w:val="0"/>
      <w:divBdr>
        <w:top w:val="none" w:sz="0" w:space="0" w:color="auto"/>
        <w:left w:val="none" w:sz="0" w:space="0" w:color="auto"/>
        <w:bottom w:val="none" w:sz="0" w:space="0" w:color="auto"/>
        <w:right w:val="none" w:sz="0" w:space="0" w:color="auto"/>
      </w:divBdr>
    </w:div>
    <w:div w:id="678429488">
      <w:bodyDiv w:val="1"/>
      <w:marLeft w:val="0"/>
      <w:marRight w:val="0"/>
      <w:marTop w:val="0"/>
      <w:marBottom w:val="0"/>
      <w:divBdr>
        <w:top w:val="none" w:sz="0" w:space="0" w:color="auto"/>
        <w:left w:val="none" w:sz="0" w:space="0" w:color="auto"/>
        <w:bottom w:val="none" w:sz="0" w:space="0" w:color="auto"/>
        <w:right w:val="none" w:sz="0" w:space="0" w:color="auto"/>
      </w:divBdr>
    </w:div>
    <w:div w:id="729691719">
      <w:bodyDiv w:val="1"/>
      <w:marLeft w:val="0"/>
      <w:marRight w:val="0"/>
      <w:marTop w:val="0"/>
      <w:marBottom w:val="0"/>
      <w:divBdr>
        <w:top w:val="none" w:sz="0" w:space="0" w:color="auto"/>
        <w:left w:val="none" w:sz="0" w:space="0" w:color="auto"/>
        <w:bottom w:val="none" w:sz="0" w:space="0" w:color="auto"/>
        <w:right w:val="none" w:sz="0" w:space="0" w:color="auto"/>
      </w:divBdr>
    </w:div>
    <w:div w:id="801727443">
      <w:bodyDiv w:val="1"/>
      <w:marLeft w:val="0"/>
      <w:marRight w:val="0"/>
      <w:marTop w:val="0"/>
      <w:marBottom w:val="0"/>
      <w:divBdr>
        <w:top w:val="none" w:sz="0" w:space="0" w:color="auto"/>
        <w:left w:val="none" w:sz="0" w:space="0" w:color="auto"/>
        <w:bottom w:val="none" w:sz="0" w:space="0" w:color="auto"/>
        <w:right w:val="none" w:sz="0" w:space="0" w:color="auto"/>
      </w:divBdr>
    </w:div>
    <w:div w:id="913706502">
      <w:bodyDiv w:val="1"/>
      <w:marLeft w:val="0"/>
      <w:marRight w:val="0"/>
      <w:marTop w:val="0"/>
      <w:marBottom w:val="0"/>
      <w:divBdr>
        <w:top w:val="none" w:sz="0" w:space="0" w:color="auto"/>
        <w:left w:val="none" w:sz="0" w:space="0" w:color="auto"/>
        <w:bottom w:val="none" w:sz="0" w:space="0" w:color="auto"/>
        <w:right w:val="none" w:sz="0" w:space="0" w:color="auto"/>
      </w:divBdr>
    </w:div>
    <w:div w:id="1165511078">
      <w:bodyDiv w:val="1"/>
      <w:marLeft w:val="0"/>
      <w:marRight w:val="0"/>
      <w:marTop w:val="0"/>
      <w:marBottom w:val="0"/>
      <w:divBdr>
        <w:top w:val="none" w:sz="0" w:space="0" w:color="auto"/>
        <w:left w:val="none" w:sz="0" w:space="0" w:color="auto"/>
        <w:bottom w:val="none" w:sz="0" w:space="0" w:color="auto"/>
        <w:right w:val="none" w:sz="0" w:space="0" w:color="auto"/>
      </w:divBdr>
    </w:div>
    <w:div w:id="1295136285">
      <w:bodyDiv w:val="1"/>
      <w:marLeft w:val="0"/>
      <w:marRight w:val="0"/>
      <w:marTop w:val="0"/>
      <w:marBottom w:val="0"/>
      <w:divBdr>
        <w:top w:val="none" w:sz="0" w:space="0" w:color="auto"/>
        <w:left w:val="none" w:sz="0" w:space="0" w:color="auto"/>
        <w:bottom w:val="none" w:sz="0" w:space="0" w:color="auto"/>
        <w:right w:val="none" w:sz="0" w:space="0" w:color="auto"/>
      </w:divBdr>
    </w:div>
    <w:div w:id="1314607596">
      <w:bodyDiv w:val="1"/>
      <w:marLeft w:val="0"/>
      <w:marRight w:val="0"/>
      <w:marTop w:val="0"/>
      <w:marBottom w:val="0"/>
      <w:divBdr>
        <w:top w:val="none" w:sz="0" w:space="0" w:color="auto"/>
        <w:left w:val="none" w:sz="0" w:space="0" w:color="auto"/>
        <w:bottom w:val="none" w:sz="0" w:space="0" w:color="auto"/>
        <w:right w:val="none" w:sz="0" w:space="0" w:color="auto"/>
      </w:divBdr>
    </w:div>
    <w:div w:id="1426462982">
      <w:bodyDiv w:val="1"/>
      <w:marLeft w:val="0"/>
      <w:marRight w:val="0"/>
      <w:marTop w:val="0"/>
      <w:marBottom w:val="0"/>
      <w:divBdr>
        <w:top w:val="none" w:sz="0" w:space="0" w:color="auto"/>
        <w:left w:val="none" w:sz="0" w:space="0" w:color="auto"/>
        <w:bottom w:val="none" w:sz="0" w:space="0" w:color="auto"/>
        <w:right w:val="none" w:sz="0" w:space="0" w:color="auto"/>
      </w:divBdr>
    </w:div>
    <w:div w:id="1750692934">
      <w:bodyDiv w:val="1"/>
      <w:marLeft w:val="0"/>
      <w:marRight w:val="0"/>
      <w:marTop w:val="0"/>
      <w:marBottom w:val="0"/>
      <w:divBdr>
        <w:top w:val="none" w:sz="0" w:space="0" w:color="auto"/>
        <w:left w:val="none" w:sz="0" w:space="0" w:color="auto"/>
        <w:bottom w:val="none" w:sz="0" w:space="0" w:color="auto"/>
        <w:right w:val="none" w:sz="0" w:space="0" w:color="auto"/>
      </w:divBdr>
    </w:div>
    <w:div w:id="1889950332">
      <w:bodyDiv w:val="1"/>
      <w:marLeft w:val="0"/>
      <w:marRight w:val="0"/>
      <w:marTop w:val="0"/>
      <w:marBottom w:val="0"/>
      <w:divBdr>
        <w:top w:val="none" w:sz="0" w:space="0" w:color="auto"/>
        <w:left w:val="none" w:sz="0" w:space="0" w:color="auto"/>
        <w:bottom w:val="none" w:sz="0" w:space="0" w:color="auto"/>
        <w:right w:val="none" w:sz="0" w:space="0" w:color="auto"/>
      </w:divBdr>
    </w:div>
    <w:div w:id="19607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Regvyta Gelumbauskienė</dc:creator>
  <cp:keywords/>
  <dc:description/>
  <cp:lastModifiedBy>Regvyta Gelumbauskienė</cp:lastModifiedBy>
  <cp:revision>2</cp:revision>
  <dcterms:created xsi:type="dcterms:W3CDTF">2025-01-10T14:51:00Z</dcterms:created>
  <dcterms:modified xsi:type="dcterms:W3CDTF">2025-01-10T14:51:00Z</dcterms:modified>
  <cp:category/>
</cp:coreProperties>
</file>