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4F06DE19" w14:textId="77777777" w:rsidR="00B30B7F" w:rsidRDefault="00B30B7F" w:rsidP="00B30B7F">
      <w:pPr>
        <w:jc w:val="center"/>
        <w:rPr>
          <w:b/>
          <w:sz w:val="24"/>
          <w:szCs w:val="24"/>
        </w:rPr>
      </w:pPr>
    </w:p>
    <w:p w14:paraId="63774510" w14:textId="7143BF18" w:rsidR="00381971" w:rsidRPr="00B30B7F" w:rsidRDefault="00B30B7F" w:rsidP="00B30B7F">
      <w:pPr>
        <w:jc w:val="center"/>
        <w:rPr>
          <w:color w:val="000000"/>
          <w:sz w:val="24"/>
          <w:szCs w:val="24"/>
          <w:lang w:val="en-GB"/>
        </w:rPr>
      </w:pPr>
      <w:r w:rsidRPr="00B30B7F">
        <w:rPr>
          <w:b/>
          <w:sz w:val="24"/>
          <w:szCs w:val="24"/>
        </w:rPr>
        <w:t>MAŽOS VERTĖS</w:t>
      </w:r>
      <w:r w:rsidRPr="00B30B7F">
        <w:rPr>
          <w:sz w:val="24"/>
          <w:szCs w:val="24"/>
        </w:rPr>
        <w:t xml:space="preserve"> </w:t>
      </w:r>
      <w:r w:rsidRPr="00B30B7F">
        <w:rPr>
          <w:b/>
          <w:sz w:val="24"/>
          <w:szCs w:val="24"/>
        </w:rPr>
        <w:t>PIRKIMO</w:t>
      </w:r>
    </w:p>
    <w:p w14:paraId="538D69A9" w14:textId="6AA8D418" w:rsidR="00D429AD" w:rsidRPr="00B30B7F" w:rsidRDefault="00D429AD" w:rsidP="00B30B7F">
      <w:pPr>
        <w:jc w:val="center"/>
        <w:rPr>
          <w:b/>
          <w:bCs/>
          <w:sz w:val="24"/>
          <w:lang w:val="lt-LT"/>
        </w:rPr>
      </w:pPr>
      <w:r>
        <w:rPr>
          <w:b/>
          <w:bCs/>
          <w:sz w:val="24"/>
          <w:lang w:val="lt-LT"/>
        </w:rPr>
        <w:t>„</w:t>
      </w:r>
      <w:r w:rsidR="00B30B7F" w:rsidRPr="00A130B2">
        <w:rPr>
          <w:b/>
          <w:bCs/>
          <w:sz w:val="24"/>
          <w:szCs w:val="24"/>
          <w:lang w:val="lt-LT"/>
        </w:rPr>
        <w:t>NAUSODŽIO SEN. NORIŠKIŲ K., SAULĖGRĄŽŲ GATVĖS PAPRASTOJO REMONTO APRAŠO PARENGIMO IR DANGOS ATNAUJINIMO DARBAI</w:t>
      </w:r>
      <w:r w:rsidR="00112CFE" w:rsidRPr="00112CFE">
        <w:rPr>
          <w:b/>
          <w:bCs/>
          <w:sz w:val="24"/>
          <w:lang w:val="lt-LT"/>
        </w:rPr>
        <w:t>“</w:t>
      </w:r>
    </w:p>
    <w:p w14:paraId="6C2F98DE" w14:textId="37B7749A" w:rsidR="00D429AD" w:rsidRPr="00750A21" w:rsidRDefault="00D429AD" w:rsidP="00D429AD">
      <w:pPr>
        <w:pStyle w:val="Pagrindinistekstas"/>
        <w:jc w:val="center"/>
        <w:rPr>
          <w:b/>
          <w:szCs w:val="24"/>
        </w:rPr>
      </w:pPr>
      <w:r w:rsidRPr="00750A21">
        <w:rPr>
          <w:b/>
          <w:szCs w:val="24"/>
        </w:rPr>
        <w:t>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62F3E33D"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FAF2F6E" w14:textId="56A3A6B3"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EBB45D0" w14:textId="10D7098B"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A60EC2">
              <w:rPr>
                <w:noProof/>
                <w:webHidden/>
              </w:rPr>
              <w:t>3</w:t>
            </w:r>
            <w:r w:rsidR="002D3CE6">
              <w:rPr>
                <w:noProof/>
                <w:webHidden/>
              </w:rPr>
              <w:fldChar w:fldCharType="end"/>
            </w:r>
          </w:hyperlink>
        </w:p>
        <w:p w14:paraId="1171EE8B" w14:textId="24522232"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AD903E4" w14:textId="7ADB7042"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27720E9" w14:textId="5F180764"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A60EC2">
              <w:rPr>
                <w:noProof/>
                <w:webHidden/>
              </w:rPr>
              <w:t>7</w:t>
            </w:r>
            <w:r w:rsidR="002D3CE6">
              <w:rPr>
                <w:noProof/>
                <w:webHidden/>
              </w:rPr>
              <w:fldChar w:fldCharType="end"/>
            </w:r>
          </w:hyperlink>
        </w:p>
        <w:p w14:paraId="3F3677BE" w14:textId="357B261D"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279C797C" w14:textId="3F7FA051"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38ED4C22" w14:textId="1BB1BB07"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A60EC2">
              <w:rPr>
                <w:noProof/>
                <w:webHidden/>
              </w:rPr>
              <w:t>9</w:t>
            </w:r>
            <w:r w:rsidR="002D3CE6">
              <w:rPr>
                <w:noProof/>
                <w:webHidden/>
              </w:rPr>
              <w:fldChar w:fldCharType="end"/>
            </w:r>
          </w:hyperlink>
        </w:p>
        <w:p w14:paraId="028E9623" w14:textId="74130564"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332271C4" w14:textId="02D55D6F"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4B7336C2" w14:textId="6F8CA812" w:rsidR="002D3CE6" w:rsidRDefault="00E37F6C">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A60EC2">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597617B" w:rsidR="0055011A" w:rsidRPr="00EB7282" w:rsidRDefault="0055011A" w:rsidP="00EB7282">
      <w:pPr>
        <w:autoSpaceDE w:val="0"/>
        <w:autoSpaceDN w:val="0"/>
        <w:adjustRightInd w:val="0"/>
        <w:rPr>
          <w:sz w:val="24"/>
          <w:szCs w:val="24"/>
        </w:rPr>
      </w:pPr>
      <w:r w:rsidRPr="00643428">
        <w:rPr>
          <w:szCs w:val="24"/>
        </w:rPr>
        <w:t xml:space="preserve">1. </w:t>
      </w:r>
      <w:r w:rsidR="00A60EC2">
        <w:rPr>
          <w:sz w:val="24"/>
          <w:szCs w:val="24"/>
          <w:lang w:val="lt-LT"/>
        </w:rPr>
        <w:t>Techninė s</w:t>
      </w:r>
      <w:r w:rsidR="00E826CA">
        <w:rPr>
          <w:sz w:val="24"/>
          <w:szCs w:val="24"/>
          <w:lang w:val="lt-LT"/>
        </w:rPr>
        <w:t>pecifikacija</w:t>
      </w:r>
      <w:r w:rsidR="00180442" w:rsidRPr="00EB7282">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63BEF068" w:rsidR="001976AC" w:rsidRDefault="001976AC" w:rsidP="009970A3">
      <w:pPr>
        <w:pStyle w:val="Pagrindinistekstas"/>
        <w:tabs>
          <w:tab w:val="left" w:pos="9067"/>
        </w:tabs>
        <w:jc w:val="left"/>
        <w:rPr>
          <w:szCs w:val="24"/>
        </w:rPr>
      </w:pPr>
      <w:r>
        <w:rPr>
          <w:szCs w:val="24"/>
        </w:rPr>
        <w:t xml:space="preserve">4. </w:t>
      </w:r>
      <w:r w:rsidR="00112CFE">
        <w:rPr>
          <w:szCs w:val="24"/>
        </w:rPr>
        <w:t>Darbų kiekių žiniaraštis</w:t>
      </w:r>
      <w:r>
        <w:rPr>
          <w:szCs w:val="24"/>
        </w:rPr>
        <w:t>.</w:t>
      </w:r>
    </w:p>
    <w:p w14:paraId="2F19BA72" w14:textId="7071B4CB" w:rsidR="00105C0A" w:rsidRDefault="00105C0A" w:rsidP="009970A3">
      <w:pPr>
        <w:pStyle w:val="Pagrindinistekstas"/>
        <w:tabs>
          <w:tab w:val="left" w:pos="9067"/>
        </w:tabs>
        <w:jc w:val="left"/>
        <w:rPr>
          <w:szCs w:val="24"/>
        </w:rPr>
      </w:pPr>
      <w:r>
        <w:rPr>
          <w:szCs w:val="24"/>
        </w:rPr>
        <w:t>5. Įkainotų veiklų sąrašas.</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323F397E"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 </w:t>
      </w:r>
      <w:r w:rsidR="005B09E2" w:rsidRPr="002239EE">
        <w:rPr>
          <w:bCs/>
          <w:sz w:val="24"/>
          <w:szCs w:val="24"/>
        </w:rPr>
        <w:t>Nausodžio sen. Noriškių k., Saulėgrąžų gatvės paprastojo remonto aprašo parengimo ir dangos atnaujinimo darbai</w:t>
      </w:r>
      <w:r w:rsidR="00112CFE" w:rsidRPr="00112CFE">
        <w:rPr>
          <w:bCs/>
          <w:sz w:val="24"/>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53F52769"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5B09E2" w:rsidRPr="00A130B2">
        <w:rPr>
          <w:sz w:val="24"/>
          <w:szCs w:val="24"/>
        </w:rPr>
        <w:t>Atlikti Nausodžio sen. Noriškių k., Saulėgrąžų gatvės paprastojo remonto aprašo parengimo ir dangos atnaujinimo darbus. Preliminarūs darbų kiekiai pridedami</w:t>
      </w:r>
      <w:r w:rsidR="005B09E2">
        <w:rPr>
          <w:sz w:val="24"/>
          <w:szCs w:val="24"/>
        </w:rPr>
        <w:t xml:space="preserve"> </w:t>
      </w:r>
      <w:r w:rsidR="005B09E2" w:rsidRPr="00BF51F8">
        <w:rPr>
          <w:sz w:val="24"/>
          <w:szCs w:val="24"/>
        </w:rPr>
        <w:t xml:space="preserve">pirkimo sąlygų </w:t>
      </w:r>
      <w:r w:rsidR="00F06E35">
        <w:rPr>
          <w:sz w:val="24"/>
          <w:szCs w:val="24"/>
        </w:rPr>
        <w:t>4 priede.</w:t>
      </w:r>
      <w:r w:rsidR="005B09E2">
        <w:rPr>
          <w:sz w:val="24"/>
          <w:szCs w:val="24"/>
        </w:rPr>
        <w:t xml:space="preserve"> </w:t>
      </w:r>
      <w:r w:rsidR="00112CFE" w:rsidRPr="0031749C">
        <w:rPr>
          <w:sz w:val="24"/>
          <w:szCs w:val="24"/>
        </w:rPr>
        <w:t xml:space="preserve">Statinio statybos rūšis – </w:t>
      </w:r>
      <w:r w:rsidR="005B09E2">
        <w:rPr>
          <w:sz w:val="24"/>
          <w:szCs w:val="24"/>
          <w:shd w:val="clear" w:color="auto" w:fill="FFFFFF"/>
        </w:rPr>
        <w:t>paprastojo remonto darbai</w:t>
      </w:r>
      <w:r w:rsidR="005B09E2">
        <w:rPr>
          <w:sz w:val="24"/>
          <w:szCs w:val="24"/>
        </w:rPr>
        <w:t>,</w:t>
      </w:r>
      <w:r w:rsidR="00112CFE" w:rsidRPr="0031749C">
        <w:rPr>
          <w:sz w:val="24"/>
          <w:szCs w:val="24"/>
        </w:rPr>
        <w:t xml:space="preserve"> Statinio kategorija – neypatingas statinys. </w:t>
      </w:r>
    </w:p>
    <w:p w14:paraId="162AC119" w14:textId="0F6A54D9"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5B09E2" w:rsidRPr="005B09E2">
        <w:rPr>
          <w:rStyle w:val="Emfaz"/>
          <w:bCs/>
          <w:i w:val="0"/>
          <w:iCs w:val="0"/>
          <w:sz w:val="24"/>
          <w:szCs w:val="24"/>
          <w:shd w:val="clear" w:color="auto" w:fill="FFFFFF"/>
        </w:rPr>
        <w:t>techninėje specifikacijoje</w:t>
      </w:r>
      <w:r w:rsidR="005B09E2"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5B09E2">
        <w:rPr>
          <w:sz w:val="24"/>
          <w:szCs w:val="24"/>
        </w:rPr>
        <w:t xml:space="preserve"> ir darbų kiekių žiniaraštyje </w:t>
      </w:r>
      <w:r w:rsidR="005B09E2" w:rsidRPr="00BF51F8">
        <w:rPr>
          <w:sz w:val="24"/>
          <w:szCs w:val="24"/>
        </w:rPr>
        <w:t xml:space="preserve">(pirkimo sąlygų </w:t>
      </w:r>
      <w:r w:rsidR="00F06E35">
        <w:rPr>
          <w:sz w:val="24"/>
          <w:szCs w:val="24"/>
        </w:rPr>
        <w:t>4</w:t>
      </w:r>
      <w:r w:rsidR="005B09E2" w:rsidRPr="00BF51F8">
        <w:rPr>
          <w:sz w:val="24"/>
          <w:szCs w:val="24"/>
        </w:rPr>
        <w:t xml:space="preserve"> priedas)</w:t>
      </w:r>
      <w:r w:rsidR="00181D22">
        <w:rPr>
          <w:sz w:val="24"/>
          <w:szCs w:val="24"/>
        </w:rPr>
        <w:t xml:space="preserve">. </w:t>
      </w:r>
      <w:r w:rsidR="006D04C3" w:rsidRPr="00BF51F8">
        <w:rPr>
          <w:sz w:val="24"/>
          <w:szCs w:val="24"/>
        </w:rPr>
        <w:t xml:space="preserve">Jeigu </w:t>
      </w:r>
      <w:r w:rsidR="006C30CC">
        <w:rPr>
          <w:sz w:val="24"/>
          <w:szCs w:val="24"/>
        </w:rPr>
        <w:t>technin</w:t>
      </w:r>
      <w:r w:rsidR="005B09E2">
        <w:rPr>
          <w:sz w:val="24"/>
          <w:szCs w:val="24"/>
        </w:rPr>
        <w:t>ėje</w:t>
      </w:r>
      <w:r w:rsidR="006C30CC">
        <w:rPr>
          <w:sz w:val="24"/>
          <w:szCs w:val="24"/>
        </w:rPr>
        <w:t xml:space="preserve"> </w:t>
      </w:r>
      <w:r w:rsidR="005B09E2">
        <w:rPr>
          <w:sz w:val="24"/>
          <w:szCs w:val="24"/>
        </w:rPr>
        <w:t>specifikacijoje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52EA23D0"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375D03">
        <w:rPr>
          <w:sz w:val="24"/>
          <w:szCs w:val="24"/>
        </w:rPr>
        <w:t xml:space="preserve">: </w:t>
      </w:r>
      <w:r w:rsidR="005B09E2" w:rsidRPr="00375D03">
        <w:rPr>
          <w:sz w:val="24"/>
          <w:szCs w:val="24"/>
        </w:rPr>
        <w:t>3</w:t>
      </w:r>
      <w:r w:rsidR="00C96547" w:rsidRPr="00375D03">
        <w:rPr>
          <w:sz w:val="24"/>
          <w:szCs w:val="24"/>
        </w:rPr>
        <w:t xml:space="preserve"> mėn.</w:t>
      </w:r>
      <w:r w:rsidR="00375D03" w:rsidRPr="00375D03">
        <w:rPr>
          <w:sz w:val="24"/>
          <w:szCs w:val="24"/>
        </w:rPr>
        <w:t>: iš kurių 1 mėn. paprastojo remonto aprašo parengimui ir 2 mėn. rangos darbų atlikimui</w:t>
      </w:r>
      <w:r w:rsidR="00375D03">
        <w:rPr>
          <w:sz w:val="24"/>
          <w:szCs w:val="24"/>
        </w:rPr>
        <w:t>.</w:t>
      </w:r>
      <w:r w:rsidR="00375D03" w:rsidRPr="007D2AAC">
        <w:rPr>
          <w:rFonts w:eastAsiaTheme="minorHAnsi"/>
          <w:sz w:val="24"/>
          <w:szCs w:val="24"/>
        </w:rPr>
        <w:t xml:space="preserve">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w:t>
      </w:r>
      <w:r w:rsidR="00F06E35">
        <w:rPr>
          <w:rFonts w:eastAsiaTheme="minorHAnsi"/>
          <w:sz w:val="24"/>
          <w:szCs w:val="24"/>
        </w:rPr>
        <w:t>rojekte (pirkimo sąlygų 3 priedas</w:t>
      </w:r>
      <w:r w:rsidR="00982425" w:rsidRPr="007D2AAC">
        <w:rPr>
          <w:rFonts w:eastAsiaTheme="minorHAnsi"/>
          <w:sz w:val="24"/>
          <w:szCs w:val="24"/>
        </w:rPr>
        <w:t>)</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69E628D5" w14:textId="0F6D79A3" w:rsidR="004500BC" w:rsidRPr="004500BC" w:rsidRDefault="004500BC" w:rsidP="004500BC">
      <w:pPr>
        <w:pStyle w:val="Sraopastraipa"/>
        <w:numPr>
          <w:ilvl w:val="0"/>
          <w:numId w:val="2"/>
        </w:numPr>
        <w:tabs>
          <w:tab w:val="left" w:pos="1134"/>
        </w:tabs>
        <w:suppressAutoHyphens/>
        <w:ind w:left="0" w:firstLine="567"/>
        <w:jc w:val="both"/>
        <w:rPr>
          <w:sz w:val="24"/>
          <w:szCs w:val="24"/>
        </w:rPr>
      </w:pPr>
      <w:r w:rsidRPr="004500BC">
        <w:rPr>
          <w:b/>
          <w:sz w:val="24"/>
          <w:szCs w:val="24"/>
        </w:rPr>
        <w:t>Maksimali pirkimui skirta lėšų suma</w:t>
      </w:r>
      <w:r w:rsidRPr="007D2AAC">
        <w:rPr>
          <w:sz w:val="24"/>
          <w:szCs w:val="24"/>
        </w:rPr>
        <w:t xml:space="preserve"> be PVM – </w:t>
      </w:r>
      <w:r w:rsidRPr="004500BC">
        <w:rPr>
          <w:sz w:val="24"/>
          <w:szCs w:val="24"/>
        </w:rPr>
        <w:t>74049,59 Eur. Maksimali pirkimui skirta lėšų suma su PVM – 89600,00 Eur.</w:t>
      </w:r>
    </w:p>
    <w:p w14:paraId="0C1A048C" w14:textId="067D1A25" w:rsidR="00841C1D" w:rsidRPr="009473DB" w:rsidRDefault="00AE0276" w:rsidP="00F261B6">
      <w:pPr>
        <w:pStyle w:val="Sraopastraipa"/>
        <w:numPr>
          <w:ilvl w:val="0"/>
          <w:numId w:val="2"/>
        </w:numPr>
        <w:tabs>
          <w:tab w:val="left" w:pos="1134"/>
        </w:tabs>
        <w:ind w:left="0" w:firstLine="567"/>
        <w:jc w:val="both"/>
        <w:rPr>
          <w:sz w:val="24"/>
          <w:szCs w:val="24"/>
        </w:rPr>
      </w:pPr>
      <w:r w:rsidRPr="009473DB">
        <w:rPr>
          <w:b/>
          <w:sz w:val="24"/>
          <w:szCs w:val="24"/>
        </w:rPr>
        <w:lastRenderedPageBreak/>
        <w:t>D</w:t>
      </w:r>
      <w:r w:rsidR="00841C1D" w:rsidRPr="009473DB">
        <w:rPr>
          <w:b/>
          <w:sz w:val="24"/>
          <w:szCs w:val="24"/>
        </w:rPr>
        <w:t>arbų atlikimo vieta:</w:t>
      </w:r>
      <w:r w:rsidR="00841C1D" w:rsidRPr="009473DB">
        <w:rPr>
          <w:sz w:val="24"/>
          <w:szCs w:val="24"/>
        </w:rPr>
        <w:t xml:space="preserve"> </w:t>
      </w:r>
      <w:r w:rsidR="00A60EC2" w:rsidRPr="00A130B2">
        <w:rPr>
          <w:sz w:val="24"/>
          <w:szCs w:val="24"/>
        </w:rPr>
        <w:t>Noriškių kaimas Nausodžio sen. Saulėgrąžų gatvė</w:t>
      </w:r>
      <w:r w:rsidR="00A60EC2">
        <w:rPr>
          <w:sz w:val="24"/>
          <w:szCs w:val="24"/>
        </w:rPr>
        <w:t>.</w:t>
      </w:r>
    </w:p>
    <w:p w14:paraId="25C7C338" w14:textId="10BAFD07"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4500BC">
        <w:rPr>
          <w:szCs w:val="24"/>
        </w:rPr>
        <w:t>Keli finansavimo šaltiniai</w:t>
      </w:r>
      <w:r w:rsidR="00AE0276" w:rsidRPr="007D2AAC">
        <w:rPr>
          <w:rFonts w:eastAsia="Calibri"/>
          <w:szCs w:val="24"/>
        </w:rPr>
        <w:t>.</w:t>
      </w:r>
      <w:r w:rsidR="004500BC">
        <w:rPr>
          <w:rFonts w:eastAsia="Calibri"/>
          <w:szCs w:val="24"/>
        </w:rPr>
        <w:t xml:space="preserve"> F</w:t>
      </w:r>
      <w:r w:rsidR="004500BC" w:rsidRPr="00A130B2">
        <w:rPr>
          <w:szCs w:val="24"/>
        </w:rPr>
        <w:t>inansuojama savivaldybės ir gyventojų lėšomis</w:t>
      </w:r>
      <w:r w:rsidR="004500BC">
        <w:rPr>
          <w:szCs w:val="24"/>
        </w:rPr>
        <w:t>.</w:t>
      </w:r>
    </w:p>
    <w:p w14:paraId="49175EC4" w14:textId="397804BA" w:rsidR="00C95158" w:rsidRPr="00C95158"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bookmarkEnd w:id="4"/>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1E4A063C" w14:textId="77777777" w:rsidTr="00A74D3D">
        <w:trPr>
          <w:trHeight w:val="301"/>
          <w:jc w:val="center"/>
        </w:trPr>
        <w:tc>
          <w:tcPr>
            <w:tcW w:w="9830" w:type="dxa"/>
            <w:gridSpan w:val="3"/>
          </w:tcPr>
          <w:p w14:paraId="519D6574" w14:textId="7BAE2D7B" w:rsidR="00A74D3D" w:rsidRPr="00750A21" w:rsidRDefault="004500BC" w:rsidP="00A74D3D">
            <w:pPr>
              <w:pStyle w:val="Pagrindinistekstas"/>
              <w:jc w:val="center"/>
              <w:rPr>
                <w:b/>
                <w:szCs w:val="24"/>
              </w:rPr>
            </w:pPr>
            <w:r>
              <w:rPr>
                <w:b/>
                <w:bCs/>
                <w:color w:val="000000"/>
              </w:rPr>
              <w:t>Techninis ir profesinis pajėgumas</w:t>
            </w:r>
          </w:p>
        </w:tc>
      </w:tr>
      <w:tr w:rsidR="004500BC" w:rsidRPr="00750A21" w14:paraId="12CB521B" w14:textId="77777777" w:rsidTr="00A74D3D">
        <w:trPr>
          <w:trHeight w:val="566"/>
          <w:jc w:val="center"/>
        </w:trPr>
        <w:tc>
          <w:tcPr>
            <w:tcW w:w="816" w:type="dxa"/>
            <w:vAlign w:val="center"/>
          </w:tcPr>
          <w:p w14:paraId="76934FB0" w14:textId="7858911F" w:rsidR="004500BC" w:rsidRPr="00A74D3D" w:rsidRDefault="004500BC" w:rsidP="004500BC">
            <w:pPr>
              <w:pStyle w:val="Pagrindinistekstas"/>
              <w:jc w:val="center"/>
              <w:rPr>
                <w:szCs w:val="24"/>
              </w:rPr>
            </w:pPr>
            <w:r w:rsidRPr="00A74D3D">
              <w:rPr>
                <w:szCs w:val="24"/>
              </w:rPr>
              <w:t>18.1</w:t>
            </w:r>
          </w:p>
        </w:tc>
        <w:tc>
          <w:tcPr>
            <w:tcW w:w="3912" w:type="dxa"/>
          </w:tcPr>
          <w:p w14:paraId="0C6509EE" w14:textId="5C0C4674" w:rsidR="004500BC" w:rsidRPr="00A74D3D" w:rsidRDefault="004500BC" w:rsidP="004500BC">
            <w:pPr>
              <w:ind w:right="-1"/>
              <w:jc w:val="both"/>
              <w:rPr>
                <w:b/>
                <w:sz w:val="24"/>
                <w:szCs w:val="24"/>
              </w:rPr>
            </w:pPr>
            <w:r w:rsidRPr="00A130B2">
              <w:rPr>
                <w:sz w:val="24"/>
                <w:szCs w:val="24"/>
              </w:rPr>
              <w:t>Tiekėjas per paskutinius 5 metus iki pasiūlymo pateikimo termino pabaigos yra atlikęs asfaltbetonio dangos įrengimo</w:t>
            </w:r>
            <w:r>
              <w:rPr>
                <w:sz w:val="24"/>
              </w:rPr>
              <w:t xml:space="preserve"> darbų už 40 000,00 Eur be PVM </w:t>
            </w:r>
            <w:r w:rsidRPr="00A130B2">
              <w:rPr>
                <w:sz w:val="24"/>
                <w:szCs w:val="24"/>
              </w:rPr>
              <w:t>ir svarbiausių darbų atlikimas ir galutiniai rezultatai buvo tinkami.</w:t>
            </w:r>
            <w:r>
              <w:rPr>
                <w:sz w:val="24"/>
              </w:rPr>
              <w:t xml:space="preserve"> </w:t>
            </w:r>
            <w:r w:rsidRPr="00A130B2">
              <w:rPr>
                <w:sz w:val="24"/>
                <w:szCs w:val="24"/>
              </w:rPr>
              <w:t xml:space="preserve">Svarbiausi darbai: asfaltbetonio dangos įrengimo ir/ar gatvės ir/ar kelio kapitalinio remonto </w:t>
            </w:r>
            <w:r w:rsidRPr="00A130B2">
              <w:rPr>
                <w:sz w:val="24"/>
                <w:szCs w:val="24"/>
              </w:rPr>
              <w:lastRenderedPageBreak/>
              <w:t>ir /ar re</w:t>
            </w:r>
            <w:r>
              <w:rPr>
                <w:sz w:val="24"/>
              </w:rPr>
              <w:t>konstravimas arba nauja statyba</w:t>
            </w:r>
            <w:r w:rsidRPr="00A130B2">
              <w:rPr>
                <w:sz w:val="24"/>
                <w:szCs w:val="24"/>
              </w:rPr>
              <w:t xml:space="preserve"> ir/ar paprastojo remonto darbai. </w:t>
            </w:r>
          </w:p>
        </w:tc>
        <w:tc>
          <w:tcPr>
            <w:tcW w:w="5102" w:type="dxa"/>
          </w:tcPr>
          <w:p w14:paraId="2ACCCE7A" w14:textId="77777777" w:rsidR="004500BC" w:rsidRDefault="004500BC" w:rsidP="004500BC">
            <w:pPr>
              <w:pStyle w:val="Pagrindinistekstas"/>
              <w:rPr>
                <w:szCs w:val="24"/>
              </w:rPr>
            </w:pPr>
            <w:r w:rsidRPr="00A130B2">
              <w:rPr>
                <w:szCs w:val="24"/>
              </w:rPr>
              <w:lastRenderedPageBreak/>
              <w:t xml:space="preserve">Pateikiama per paskutinius 5* metus atliktų darbų sąrašas kartu su užsakovų (tiek viešųjų, tiek privačiųjų) pažymomis, apie tai, kad svarbiausių darbų atlikimas ir galutiniai rezultatai buvo tinkami. </w:t>
            </w:r>
          </w:p>
          <w:p w14:paraId="0F1CDA4A" w14:textId="77777777" w:rsidR="00B01AA0" w:rsidRDefault="00B01AA0" w:rsidP="004500BC">
            <w:pPr>
              <w:pStyle w:val="Pagrindinistekstas"/>
              <w:rPr>
                <w:szCs w:val="24"/>
              </w:rPr>
            </w:pPr>
          </w:p>
          <w:p w14:paraId="18DDDF46" w14:textId="01DA8E7F" w:rsidR="00B01AA0" w:rsidRPr="00A74D3D" w:rsidRDefault="00B01AA0" w:rsidP="004500BC">
            <w:pPr>
              <w:pStyle w:val="Pagrindinistekstas"/>
              <w:rPr>
                <w:b/>
                <w:szCs w:val="24"/>
              </w:rPr>
            </w:pPr>
            <w:r w:rsidRPr="00A74D3D">
              <w:rPr>
                <w:i/>
                <w:iCs/>
                <w:szCs w:val="24"/>
              </w:rPr>
              <w:t>CVP IS priemonėmis pateikiamos skaitmeninės dokumentų kopijos.</w:t>
            </w:r>
          </w:p>
        </w:tc>
      </w:tr>
      <w:tr w:rsidR="00A74D3D" w:rsidRPr="00750A21" w14:paraId="698496DF" w14:textId="77777777" w:rsidTr="00A74D3D">
        <w:trPr>
          <w:trHeight w:val="566"/>
          <w:jc w:val="center"/>
        </w:trPr>
        <w:tc>
          <w:tcPr>
            <w:tcW w:w="9830" w:type="dxa"/>
            <w:gridSpan w:val="3"/>
          </w:tcPr>
          <w:p w14:paraId="10E84DC4" w14:textId="77777777" w:rsidR="00B01AA0" w:rsidRPr="00B01AA0" w:rsidRDefault="00B01AA0" w:rsidP="00B01AA0">
            <w:pPr>
              <w:ind w:firstLine="589"/>
              <w:jc w:val="both"/>
              <w:rPr>
                <w:color w:val="000000"/>
                <w:sz w:val="24"/>
                <w:szCs w:val="24"/>
                <w:lang w:val="lt-LT" w:eastAsia="lt-LT"/>
              </w:rPr>
            </w:pPr>
            <w:r w:rsidRPr="00B01AA0">
              <w:rPr>
                <w:color w:val="000000"/>
                <w:sz w:val="24"/>
                <w:szCs w:val="24"/>
                <w:lang w:val="lt-LT" w:eastAsia="lt-LT"/>
              </w:rPr>
              <w:lastRenderedPageBreak/>
              <w:t>Paprastai nustatomi tokie reikalavimai:</w:t>
            </w:r>
          </w:p>
          <w:p w14:paraId="3AFC005E" w14:textId="77777777" w:rsidR="00B01AA0" w:rsidRPr="00B01AA0" w:rsidRDefault="00B01AA0" w:rsidP="00B01AA0">
            <w:pPr>
              <w:spacing w:line="257" w:lineRule="atLeast"/>
              <w:ind w:firstLine="592"/>
              <w:jc w:val="both"/>
              <w:rPr>
                <w:color w:val="000000"/>
                <w:sz w:val="24"/>
                <w:szCs w:val="24"/>
                <w:lang w:val="lt-LT" w:eastAsia="lt-LT"/>
              </w:rPr>
            </w:pPr>
            <w:r w:rsidRPr="00B01AA0">
              <w:rPr>
                <w:color w:val="000000"/>
                <w:sz w:val="24"/>
                <w:szCs w:val="24"/>
                <w:lang w:val="lt-LT" w:eastAsia="lt-LT"/>
              </w:rPr>
              <w:t>· jeigu pasiūlymą teikia ūkio subjektų grupė – reikalavimą turi atitikti visi ūkio subjektų grupės nariai kartu (ūkio subjektų grupės narių turima patirtis sumuojama), atsižvelgiant į jų prisiimamus įsipareigojimus;</w:t>
            </w:r>
          </w:p>
          <w:p w14:paraId="70A6D769" w14:textId="77777777" w:rsidR="00B01AA0" w:rsidRPr="00B01AA0" w:rsidRDefault="00B01AA0" w:rsidP="00B01AA0">
            <w:pPr>
              <w:spacing w:line="257" w:lineRule="atLeast"/>
              <w:ind w:firstLine="592"/>
              <w:jc w:val="both"/>
              <w:rPr>
                <w:color w:val="000000"/>
                <w:sz w:val="24"/>
                <w:szCs w:val="24"/>
                <w:lang w:val="lt-LT" w:eastAsia="lt-LT"/>
              </w:rPr>
            </w:pPr>
            <w:r w:rsidRPr="00B01AA0">
              <w:rPr>
                <w:color w:val="000000"/>
                <w:sz w:val="24"/>
                <w:szCs w:val="24"/>
                <w:lang w:val="lt-LT" w:eastAsia="lt-LT"/>
              </w:rPr>
              <w:t>· tiekėjas gali remtis kitų ūkio subjektų pajėgumais tik tuo atveju, jeigu tie subjektai patys vykdys tą pirkimo sutarties dalį, kuriai reikia jų turimų pajėgumų;</w:t>
            </w:r>
          </w:p>
          <w:p w14:paraId="2A0A55A6" w14:textId="308439BE" w:rsidR="00A74D3D" w:rsidRPr="00CA406F" w:rsidRDefault="00B01AA0" w:rsidP="00B01AA0">
            <w:pPr>
              <w:spacing w:line="257" w:lineRule="atLeast"/>
              <w:ind w:firstLine="592"/>
              <w:jc w:val="both"/>
              <w:rPr>
                <w:b/>
                <w:sz w:val="22"/>
                <w:szCs w:val="22"/>
              </w:rPr>
            </w:pPr>
            <w:r w:rsidRPr="00B01AA0">
              <w:rPr>
                <w:color w:val="000000"/>
                <w:sz w:val="24"/>
                <w:szCs w:val="24"/>
                <w:lang w:val="lt-LT" w:eastAsia="lt-LT"/>
              </w:rPr>
              <w:t>· subtiekėjams šis reikalavimas</w:t>
            </w:r>
            <w:r>
              <w:rPr>
                <w:color w:val="000000"/>
                <w:sz w:val="24"/>
                <w:szCs w:val="24"/>
                <w:lang w:val="lt-LT" w:eastAsia="lt-LT"/>
              </w:rPr>
              <w:t xml:space="preserve"> </w:t>
            </w:r>
            <w:r w:rsidRPr="00B01AA0">
              <w:rPr>
                <w:color w:val="000000"/>
                <w:sz w:val="24"/>
                <w:szCs w:val="24"/>
                <w:lang w:val="lt-LT" w:eastAsia="lt-LT"/>
              </w:rPr>
              <w:t>nenustatomas.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B01AA0"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B01AA0" w:rsidRPr="000679B7" w:rsidRDefault="00B01AA0" w:rsidP="00B01AA0">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2B838564" w14:textId="5A759888" w:rsidR="00B01AA0" w:rsidRPr="00A74D3D" w:rsidRDefault="00B01AA0" w:rsidP="00B01AA0">
            <w:pPr>
              <w:pStyle w:val="Sraopastraipa"/>
              <w:ind w:left="0" w:firstLine="318"/>
              <w:jc w:val="both"/>
              <w:rPr>
                <w:sz w:val="24"/>
                <w:szCs w:val="24"/>
              </w:rPr>
            </w:pPr>
            <w:r w:rsidRPr="00A130B2">
              <w:rPr>
                <w:sz w:val="24"/>
                <w:szCs w:val="24"/>
              </w:rPr>
              <w:t>Tiekėjas turi įrodyti, kad atliekant darbus bus užtikrinama aplinkos apsauga, tam tiekėjas turi laikytis šių aplinkos apsaugos vadybos sistemos reikalavimų:</w:t>
            </w:r>
            <w:r>
              <w:rPr>
                <w:sz w:val="24"/>
              </w:rPr>
              <w:t xml:space="preserve"> </w:t>
            </w:r>
            <w:r w:rsidRPr="00A130B2">
              <w:rPr>
                <w:sz w:val="24"/>
                <w:szCs w:val="24"/>
              </w:rPr>
              <w:t>Europos Sąjungos aplinkos apsaugos vadybos ir audito sistemos (angl. Eco-Managment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r>
              <w:rPr>
                <w:sz w:val="24"/>
              </w:rPr>
              <w:t xml:space="preserve"> </w:t>
            </w:r>
            <w:r w:rsidRPr="00A130B2">
              <w:rPr>
                <w:sz w:val="24"/>
                <w:szCs w:val="24"/>
              </w:rPr>
              <w:t>Šis reikalavimas keliamas ūkio subjektui, kuris vykdys šiuos sutarties įsipareigojimus: atliks kelio dangos paprastojo remonto  darbus, statinių grupėje - susisiekimo komunikacijos: keliai, gatvės).</w:t>
            </w: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B01AA0" w:rsidRPr="00A74D3D" w:rsidRDefault="00B01AA0" w:rsidP="00B01AA0">
            <w:pPr>
              <w:jc w:val="both"/>
              <w:rPr>
                <w:sz w:val="24"/>
                <w:szCs w:val="24"/>
              </w:rPr>
            </w:pPr>
            <w:r w:rsidRPr="00A74D3D">
              <w:rPr>
                <w:sz w:val="24"/>
                <w:szCs w:val="24"/>
              </w:rPr>
              <w:t xml:space="preserve">Pateikiama nepriklausomos įstaigos išduoto </w:t>
            </w:r>
            <w:r w:rsidRPr="00A74D3D">
              <w:rPr>
                <w:sz w:val="24"/>
                <w:szCs w:val="24"/>
                <w:u w:val="single"/>
              </w:rPr>
              <w:t>galiojančio</w:t>
            </w:r>
            <w:r w:rsidRPr="00A74D3D">
              <w:rPr>
                <w:sz w:val="24"/>
                <w:szCs w:val="24"/>
              </w:rPr>
              <w:t xml:space="preserve"> sertifikato, patvirtinančio, kad tiekėjas laikosi reikalaujamos aplinkos apsaugos vadybos sistemos standartų arba lygiaverčių standartų,  skaitmeninė kopija.</w:t>
            </w:r>
          </w:p>
          <w:p w14:paraId="7907AFF3" w14:textId="77777777" w:rsidR="00B01AA0" w:rsidRPr="00A74D3D" w:rsidRDefault="00B01AA0" w:rsidP="00B01AA0">
            <w:pPr>
              <w:jc w:val="both"/>
              <w:rPr>
                <w:sz w:val="24"/>
                <w:szCs w:val="24"/>
              </w:rPr>
            </w:pPr>
          </w:p>
          <w:p w14:paraId="36F6008D" w14:textId="77777777" w:rsidR="00B01AA0" w:rsidRPr="00A74D3D" w:rsidRDefault="00B01AA0" w:rsidP="00B01AA0">
            <w:pPr>
              <w:jc w:val="both"/>
              <w:rPr>
                <w:sz w:val="24"/>
                <w:szCs w:val="24"/>
              </w:rPr>
            </w:pPr>
            <w:r w:rsidRPr="00A74D3D">
              <w:rPr>
                <w:sz w:val="24"/>
                <w:szCs w:val="24"/>
              </w:rPr>
              <w:t>Perkančioji organizacija pripažįsta lygiaverčius sertifikatus, išduotus kitose valstybėse narėse įsteigtų nepriklausomų įstaigų.</w:t>
            </w:r>
          </w:p>
          <w:p w14:paraId="1680040E" w14:textId="77777777" w:rsidR="00B01AA0" w:rsidRPr="00A74D3D" w:rsidRDefault="00B01AA0" w:rsidP="00B01AA0">
            <w:pPr>
              <w:jc w:val="both"/>
              <w:rPr>
                <w:sz w:val="24"/>
                <w:szCs w:val="24"/>
              </w:rPr>
            </w:pPr>
          </w:p>
          <w:p w14:paraId="482856F7" w14:textId="77777777" w:rsidR="00B01AA0" w:rsidRPr="00A74D3D" w:rsidRDefault="00B01AA0" w:rsidP="00B01AA0">
            <w:pPr>
              <w:jc w:val="both"/>
              <w:rPr>
                <w:sz w:val="24"/>
                <w:szCs w:val="24"/>
              </w:rPr>
            </w:pPr>
            <w:r w:rsidRPr="00A74D3D">
              <w:rPr>
                <w:sz w:val="24"/>
                <w:szCs w:val="24"/>
              </w:rPr>
              <w:t xml:space="preserve">Tiekėjas gali pateikti lygiaverčius įrodymus (pavyzdžiui, tiekėjo patvirtintus taikomus aplinkos apsaugos vadybos priemonių aprašymus), atitinkančius visus </w:t>
            </w:r>
            <w:hyperlink r:id="rId13" w:history="1">
              <w:r w:rsidRPr="00A74D3D">
                <w:rPr>
                  <w:rFonts w:eastAsia="Calibri"/>
                  <w:sz w:val="24"/>
                  <w:szCs w:val="24"/>
                  <w:u w:val="single"/>
                </w:rPr>
                <w:t>Aplinkos apsaugos kriterijų taikymo, vykdant žaliuosius pirkimus tvarkos aprašo</w:t>
              </w:r>
            </w:hyperlink>
            <w:r w:rsidRPr="00A74D3D">
              <w:rPr>
                <w:sz w:val="24"/>
                <w:szCs w:val="24"/>
              </w:rPr>
              <w:t xml:space="preserve"> 10 punkto 10.1-10.6 papunkčiuose nustatytus reikalavimus.</w:t>
            </w:r>
          </w:p>
          <w:p w14:paraId="4E9D1F51" w14:textId="77777777" w:rsidR="00B01AA0" w:rsidRPr="00A74D3D" w:rsidRDefault="00B01AA0" w:rsidP="00B01AA0">
            <w:pPr>
              <w:autoSpaceDE w:val="0"/>
              <w:autoSpaceDN w:val="0"/>
              <w:adjustRightInd w:val="0"/>
              <w:rPr>
                <w:i/>
                <w:iCs/>
                <w:sz w:val="24"/>
                <w:szCs w:val="24"/>
              </w:rPr>
            </w:pPr>
          </w:p>
          <w:p w14:paraId="3376CF12" w14:textId="7CC73B3E" w:rsidR="00B01AA0" w:rsidRPr="00A74D3D" w:rsidRDefault="00B01AA0" w:rsidP="00B01AA0">
            <w:pPr>
              <w:spacing w:line="276" w:lineRule="auto"/>
              <w:jc w:val="both"/>
              <w:rPr>
                <w:i/>
                <w:sz w:val="24"/>
                <w:szCs w:val="24"/>
                <w:lang w:val="lt-LT"/>
              </w:rPr>
            </w:pPr>
            <w:r w:rsidRPr="00A74D3D">
              <w:rPr>
                <w:i/>
                <w:iCs/>
                <w:sz w:val="24"/>
                <w:szCs w:val="24"/>
              </w:rPr>
              <w:t>CVP IS priemonėmis pateikiamos skaitmeninės dokumentų kopijos.</w:t>
            </w:r>
          </w:p>
        </w:tc>
      </w:tr>
      <w:tr w:rsidR="00B01AA0"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758C7513" w14:textId="77777777" w:rsidR="00B01AA0" w:rsidRPr="00C17D07" w:rsidRDefault="00B01AA0" w:rsidP="00B01AA0">
            <w:pPr>
              <w:ind w:firstLine="323"/>
              <w:jc w:val="both"/>
              <w:rPr>
                <w:i/>
                <w:iCs/>
                <w:sz w:val="24"/>
                <w:szCs w:val="24"/>
                <w:lang w:eastAsia="lt-LT"/>
              </w:rPr>
            </w:pPr>
            <w:r w:rsidRPr="00C17D07">
              <w:rPr>
                <w:i/>
                <w:iCs/>
                <w:sz w:val="24"/>
                <w:szCs w:val="24"/>
                <w:lang w:eastAsia="lt-LT"/>
              </w:rPr>
              <w:t>Subjektas, kuris turi atitikti reikalavimą:</w:t>
            </w:r>
          </w:p>
          <w:p w14:paraId="2874541D" w14:textId="77777777" w:rsidR="00B01AA0" w:rsidRPr="00C17D07" w:rsidRDefault="00B01AA0" w:rsidP="00B01AA0">
            <w:pPr>
              <w:numPr>
                <w:ilvl w:val="0"/>
                <w:numId w:val="23"/>
              </w:numPr>
              <w:ind w:left="0" w:firstLine="323"/>
              <w:jc w:val="both"/>
              <w:rPr>
                <w:i/>
                <w:iCs/>
                <w:sz w:val="24"/>
                <w:szCs w:val="24"/>
                <w:lang w:eastAsia="lt-LT"/>
              </w:rPr>
            </w:pPr>
            <w:r w:rsidRPr="00C17D07">
              <w:rPr>
                <w:i/>
                <w:iCs/>
                <w:sz w:val="24"/>
                <w:szCs w:val="24"/>
                <w:lang w:eastAsia="lt-LT"/>
              </w:rPr>
              <w:t>jeigu pasiūlymą teikia ūkio subjektų grupė – reikalavimą turi atitikti ūkio subjektų grupės narys (-iai), atsižvelgiant į jų prisiimamus įsipareigojimus pirkimo sutarčiai vykdyti;</w:t>
            </w:r>
          </w:p>
          <w:p w14:paraId="11CB99E8" w14:textId="77777777" w:rsidR="00B01AA0" w:rsidRPr="00C17D07" w:rsidRDefault="00B01AA0" w:rsidP="00B01AA0">
            <w:pPr>
              <w:numPr>
                <w:ilvl w:val="0"/>
                <w:numId w:val="23"/>
              </w:numPr>
              <w:ind w:left="0" w:firstLine="323"/>
              <w:jc w:val="both"/>
              <w:rPr>
                <w:i/>
                <w:iCs/>
                <w:sz w:val="24"/>
                <w:szCs w:val="24"/>
                <w:lang w:eastAsia="lt-LT"/>
              </w:rPr>
            </w:pPr>
            <w:r w:rsidRPr="00C17D07">
              <w:rPr>
                <w:i/>
                <w:iCs/>
                <w:sz w:val="24"/>
                <w:szCs w:val="24"/>
                <w:lang w:eastAsia="lt-LT"/>
              </w:rPr>
              <w:t xml:space="preserve">tiekėjas gali remtis kitų ūkio subjektų pajėgumais atsižvelgiant į jų prisiimamus įsipareigojimus pirkimo sutarčiai vykdyti; </w:t>
            </w:r>
          </w:p>
          <w:p w14:paraId="16094704" w14:textId="4ADC03B1" w:rsidR="00B01AA0" w:rsidRPr="000679B7" w:rsidRDefault="00B01AA0" w:rsidP="00B01AA0">
            <w:pPr>
              <w:pStyle w:val="Sraopastraipa"/>
              <w:tabs>
                <w:tab w:val="left" w:pos="313"/>
              </w:tabs>
              <w:ind w:left="0"/>
              <w:jc w:val="both"/>
              <w:rPr>
                <w:i/>
                <w:color w:val="E36C0A" w:themeColor="accent6" w:themeShade="BF"/>
                <w:sz w:val="24"/>
                <w:szCs w:val="24"/>
              </w:rPr>
            </w:pPr>
            <w:r w:rsidRPr="00C17D07">
              <w:rPr>
                <w:i/>
                <w:iCs/>
                <w:sz w:val="24"/>
                <w:szCs w:val="24"/>
              </w:rPr>
              <w:t xml:space="preserve">subtiekėjai turi laikytis reikalaujamų aplinkos apsaugos vadybos priemonių, atsižvelgiant į jų </w:t>
            </w:r>
            <w:r w:rsidRPr="00C17D07">
              <w:rPr>
                <w:i/>
                <w:iCs/>
                <w:sz w:val="24"/>
                <w:szCs w:val="24"/>
              </w:rPr>
              <w:lastRenderedPageBreak/>
              <w:t>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 xml:space="preserve">Pateikdamas pasiūlymą tiekėjas sutinka su šiais pirkimo dokumentais ir patvirtina, kad </w:t>
      </w:r>
      <w:r w:rsidRPr="00643428">
        <w:rPr>
          <w:sz w:val="24"/>
          <w:szCs w:val="24"/>
        </w:rPr>
        <w:lastRenderedPageBreak/>
        <w:t>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283FFFEC" w:rsidR="007568EC"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4DC584D" w14:textId="32833D32" w:rsidR="005B09E2" w:rsidRDefault="005B09E2" w:rsidP="00685CA4">
      <w:pPr>
        <w:pStyle w:val="Pagrindinistekstas"/>
        <w:numPr>
          <w:ilvl w:val="1"/>
          <w:numId w:val="2"/>
        </w:numPr>
        <w:tabs>
          <w:tab w:val="left" w:pos="1134"/>
        </w:tabs>
        <w:suppressAutoHyphens/>
        <w:ind w:left="0" w:firstLine="567"/>
        <w:rPr>
          <w:szCs w:val="24"/>
        </w:rPr>
      </w:pPr>
      <w:r w:rsidRPr="005B09E2">
        <w:rPr>
          <w:b/>
          <w:szCs w:val="24"/>
        </w:rPr>
        <w:t xml:space="preserve">Įkainotų veiklų sąrašas </w:t>
      </w:r>
      <w:r w:rsidRPr="00FA0949">
        <w:rPr>
          <w:szCs w:val="24"/>
        </w:rPr>
        <w:t xml:space="preserve">(pirkimo sąlygų </w:t>
      </w:r>
      <w:r>
        <w:rPr>
          <w:szCs w:val="24"/>
        </w:rPr>
        <w:t>5</w:t>
      </w:r>
      <w:r w:rsidRPr="00FA0949">
        <w:rPr>
          <w:szCs w:val="24"/>
        </w:rPr>
        <w:t xml:space="preserve"> priedas)</w:t>
      </w:r>
      <w:r>
        <w:rPr>
          <w:szCs w:val="24"/>
        </w:rPr>
        <w:t>;</w:t>
      </w:r>
    </w:p>
    <w:p w14:paraId="4918D796" w14:textId="2D5C314E" w:rsidR="007568EC" w:rsidRPr="005B09E2" w:rsidRDefault="00262EC2" w:rsidP="00685CA4">
      <w:pPr>
        <w:pStyle w:val="Pagrindinistekstas"/>
        <w:numPr>
          <w:ilvl w:val="1"/>
          <w:numId w:val="2"/>
        </w:numPr>
        <w:tabs>
          <w:tab w:val="left" w:pos="1134"/>
        </w:tabs>
        <w:suppressAutoHyphens/>
        <w:ind w:left="0" w:firstLine="567"/>
        <w:rPr>
          <w:szCs w:val="24"/>
        </w:rPr>
      </w:pPr>
      <w:r w:rsidRPr="005B09E2">
        <w:rPr>
          <w:rFonts w:eastAsia="Calibri"/>
          <w:b/>
          <w:szCs w:val="24"/>
          <w:lang w:eastAsia="lt-LT"/>
        </w:rPr>
        <w:t>į</w:t>
      </w:r>
      <w:r w:rsidR="00563051" w:rsidRPr="005B09E2">
        <w:rPr>
          <w:rFonts w:eastAsia="Calibri"/>
          <w:b/>
          <w:szCs w:val="24"/>
          <w:lang w:eastAsia="lt-LT"/>
        </w:rPr>
        <w:t>galiojimas</w:t>
      </w:r>
      <w:r w:rsidR="00563051" w:rsidRPr="005B09E2">
        <w:rPr>
          <w:rFonts w:eastAsia="Calibri"/>
          <w:szCs w:val="24"/>
          <w:lang w:eastAsia="lt-LT"/>
        </w:rPr>
        <w:t xml:space="preserve"> ar kitas dokumentas</w:t>
      </w:r>
      <w:r w:rsidR="009D7255" w:rsidRPr="005B09E2">
        <w:rPr>
          <w:rFonts w:eastAsia="Calibri"/>
          <w:szCs w:val="24"/>
          <w:lang w:eastAsia="lt-LT"/>
        </w:rPr>
        <w:t xml:space="preserve"> (pvz., pareigybės aprašymas)</w:t>
      </w:r>
      <w:r w:rsidR="00563051" w:rsidRPr="005B09E2">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3545D9DC" w:rsidR="00EE37A1" w:rsidRPr="00EE37A1" w:rsidRDefault="00871AE4" w:rsidP="00EE2CEC">
      <w:pPr>
        <w:pStyle w:val="Pagrindinistekstas"/>
        <w:numPr>
          <w:ilvl w:val="1"/>
          <w:numId w:val="2"/>
        </w:numPr>
        <w:tabs>
          <w:tab w:val="left" w:pos="1134"/>
        </w:tabs>
        <w:suppressAutoHyphens/>
        <w:ind w:left="0" w:firstLine="567"/>
        <w:rPr>
          <w:szCs w:val="24"/>
        </w:rPr>
      </w:pPr>
      <w:r>
        <w:t xml:space="preserve">Lokalines sąmatas, pagal pateiktą darbų kiekių žiniaraštį </w:t>
      </w:r>
      <w:r>
        <w:rPr>
          <w:szCs w:val="24"/>
        </w:rPr>
        <w:t>(pirkimo sąlygų 4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4DD89842"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6C30CC">
        <w:rPr>
          <w:szCs w:val="24"/>
        </w:rPr>
        <w:t>technin</w:t>
      </w:r>
      <w:r w:rsidR="006C7202">
        <w:rPr>
          <w:szCs w:val="24"/>
        </w:rPr>
        <w:t>ės specifikacijos</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w:t>
      </w:r>
      <w:r w:rsidRPr="00FA0949">
        <w:rPr>
          <w:szCs w:val="24"/>
        </w:rPr>
        <w:lastRenderedPageBreak/>
        <w:t>reikalavimus,</w:t>
      </w:r>
      <w:r w:rsidR="006C7202">
        <w:rPr>
          <w:szCs w:val="24"/>
        </w:rPr>
        <w:t xml:space="preserve"> darbų kiekių žiniaraštį (4 priedas)</w:t>
      </w:r>
      <w:r w:rsidRPr="00FA0949">
        <w:rPr>
          <w:szCs w:val="24"/>
        </w:rPr>
        <w:t xml:space="preserve">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190250988"/>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 xml:space="preserve">CVP IS susirašinėjimo </w:t>
      </w:r>
      <w:r w:rsidR="003F4F31" w:rsidRPr="00643428">
        <w:rPr>
          <w:b/>
          <w:color w:val="000000"/>
          <w:sz w:val="24"/>
          <w:szCs w:val="24"/>
          <w:u w:val="single"/>
        </w:rPr>
        <w:lastRenderedPageBreak/>
        <w:t>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190250989"/>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9"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9"/>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0250990"/>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w:t>
      </w:r>
      <w:bookmarkStart w:id="13" w:name="_GoBack"/>
      <w:bookmarkEnd w:id="13"/>
      <w:r w:rsidR="00CA3336" w:rsidRPr="00CA3336">
        <w:rPr>
          <w:sz w:val="24"/>
          <w:szCs w:val="24"/>
        </w:rPr>
        <w:t>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lastRenderedPageBreak/>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35FB10E5"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w:t>
      </w:r>
      <w:r w:rsidR="00012B2B" w:rsidRPr="002D3CE6">
        <w:lastRenderedPageBreak/>
        <w:t xml:space="preserve">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3B16D4">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w:t>
      </w:r>
      <w:r w:rsidRPr="005771A5">
        <w:rPr>
          <w:sz w:val="24"/>
          <w:szCs w:val="24"/>
        </w:rPr>
        <w:lastRenderedPageBreak/>
        <w:t xml:space="preserve">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1C7A2F2" w:rsidR="003C2BBE" w:rsidRPr="00A61080" w:rsidRDefault="00563051" w:rsidP="00C05645">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3B16D4" w:rsidRPr="003B16D4">
        <w:rPr>
          <w:i/>
          <w:sz w:val="24"/>
          <w:szCs w:val="24"/>
        </w:rPr>
        <w:t>Vietos ūkio</w:t>
      </w:r>
      <w:r w:rsidR="003B16D4">
        <w:rPr>
          <w:sz w:val="24"/>
          <w:szCs w:val="24"/>
        </w:rPr>
        <w:t xml:space="preserve"> </w:t>
      </w:r>
      <w:r w:rsidR="00685CC5" w:rsidRPr="00A61080">
        <w:rPr>
          <w:i/>
          <w:sz w:val="24"/>
          <w:szCs w:val="24"/>
        </w:rPr>
        <w:t>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3B16D4">
        <w:rPr>
          <w:i/>
          <w:sz w:val="24"/>
          <w:szCs w:val="24"/>
        </w:rPr>
        <w:t>as</w:t>
      </w:r>
      <w:r w:rsidR="007D2AAC" w:rsidRPr="00A61080">
        <w:rPr>
          <w:i/>
          <w:sz w:val="24"/>
          <w:szCs w:val="24"/>
        </w:rPr>
        <w:t xml:space="preserve"> </w:t>
      </w:r>
      <w:r w:rsidR="003B16D4">
        <w:rPr>
          <w:i/>
          <w:sz w:val="24"/>
        </w:rPr>
        <w:t>Modestas Budrys</w:t>
      </w:r>
      <w:r w:rsidR="007D2AAC" w:rsidRPr="00A61080">
        <w:rPr>
          <w:i/>
          <w:sz w:val="24"/>
          <w:szCs w:val="24"/>
        </w:rPr>
        <w:t>,</w:t>
      </w:r>
    </w:p>
    <w:p w14:paraId="6393F369" w14:textId="1D37382E"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0D09F" w14:textId="77777777" w:rsidR="00E37F6C" w:rsidRDefault="00E37F6C" w:rsidP="00F95F41">
      <w:r>
        <w:separator/>
      </w:r>
    </w:p>
  </w:endnote>
  <w:endnote w:type="continuationSeparator" w:id="0">
    <w:p w14:paraId="710A9D9E" w14:textId="77777777" w:rsidR="00E37F6C" w:rsidRDefault="00E37F6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77C9D" w14:textId="77777777" w:rsidR="00E37F6C" w:rsidRDefault="00E37F6C" w:rsidP="00F95F41">
      <w:r>
        <w:separator/>
      </w:r>
    </w:p>
  </w:footnote>
  <w:footnote w:type="continuationSeparator" w:id="0">
    <w:p w14:paraId="5DF0A64A" w14:textId="77777777" w:rsidR="00E37F6C" w:rsidRDefault="00E37F6C"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718AF708"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F06E35" w:rsidRPr="00F06E35">
          <w:rPr>
            <w:noProof/>
            <w:sz w:val="24"/>
            <w:szCs w:val="24"/>
            <w:lang w:val="lt-LT"/>
          </w:rPr>
          <w:t>11</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5C0A"/>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04B"/>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69C"/>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5D03"/>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16D4"/>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0BC"/>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09E2"/>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C7202"/>
    <w:rsid w:val="006D01C6"/>
    <w:rsid w:val="006D04C3"/>
    <w:rsid w:val="006D125D"/>
    <w:rsid w:val="006D2769"/>
    <w:rsid w:val="006D68FA"/>
    <w:rsid w:val="006E4EF1"/>
    <w:rsid w:val="006F03BE"/>
    <w:rsid w:val="006F3688"/>
    <w:rsid w:val="00701728"/>
    <w:rsid w:val="00702DB0"/>
    <w:rsid w:val="007075A6"/>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0EC2"/>
    <w:rsid w:val="00A61080"/>
    <w:rsid w:val="00A628F2"/>
    <w:rsid w:val="00A70BB8"/>
    <w:rsid w:val="00A722DD"/>
    <w:rsid w:val="00A74D3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1AA0"/>
    <w:rsid w:val="00B02065"/>
    <w:rsid w:val="00B02938"/>
    <w:rsid w:val="00B02B63"/>
    <w:rsid w:val="00B10437"/>
    <w:rsid w:val="00B11D1A"/>
    <w:rsid w:val="00B12024"/>
    <w:rsid w:val="00B146A2"/>
    <w:rsid w:val="00B15757"/>
    <w:rsid w:val="00B1794F"/>
    <w:rsid w:val="00B22467"/>
    <w:rsid w:val="00B30B7F"/>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25F9"/>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37F6C"/>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26CA"/>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35"/>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styleId="Emfaz">
    <w:name w:val="Emphasis"/>
    <w:basedOn w:val="Numatytasispastraiposriftas"/>
    <w:uiPriority w:val="20"/>
    <w:qFormat/>
    <w:rsid w:val="005B0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5613556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52F5-9512-42B1-9238-30702EA4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23719</Words>
  <Characters>13521</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62</cp:revision>
  <cp:lastPrinted>2017-07-27T08:29:00Z</cp:lastPrinted>
  <dcterms:created xsi:type="dcterms:W3CDTF">2024-05-13T06:38:00Z</dcterms:created>
  <dcterms:modified xsi:type="dcterms:W3CDTF">2026-04-15T11:47:00Z</dcterms:modified>
</cp:coreProperties>
</file>