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4D05AD44" w:rsidR="007728B3" w:rsidRPr="00454E14" w:rsidRDefault="00216C52" w:rsidP="00DC59F1">
      <w:pPr>
        <w:jc w:val="center"/>
        <w:rPr>
          <w:rFonts w:ascii="Arial" w:eastAsia="Calibri" w:hAnsi="Arial" w:cs="Arial"/>
          <w:b/>
          <w:iCs/>
          <w:sz w:val="22"/>
          <w:szCs w:val="22"/>
          <w:u w:val="single"/>
        </w:rPr>
      </w:pPr>
      <w:r w:rsidRPr="00454E14">
        <w:rPr>
          <w:rFonts w:ascii="Arial" w:eastAsia="Calibri" w:hAnsi="Arial" w:cs="Arial"/>
          <w:b/>
          <w:iCs/>
          <w:sz w:val="22"/>
          <w:szCs w:val="22"/>
          <w:u w:val="single"/>
        </w:rPr>
        <w:t>33461</w:t>
      </w:r>
      <w:r w:rsidR="00454E14" w:rsidRPr="00454E14">
        <w:rPr>
          <w:rFonts w:ascii="Arial" w:eastAsia="Calibri" w:hAnsi="Arial" w:cs="Arial"/>
          <w:b/>
          <w:iCs/>
          <w:sz w:val="22"/>
          <w:szCs w:val="22"/>
          <w:u w:val="single"/>
        </w:rPr>
        <w:t xml:space="preserve"> </w:t>
      </w:r>
      <w:r w:rsidR="00454E14" w:rsidRPr="00454E14">
        <w:rPr>
          <w:rFonts w:ascii="Arial" w:eastAsia="Calibri" w:hAnsi="Arial" w:cs="Arial"/>
          <w:b/>
          <w:iCs/>
          <w:caps/>
          <w:sz w:val="22"/>
          <w:szCs w:val="22"/>
          <w:u w:val="single"/>
        </w:rPr>
        <w:t>Kalėdinės dovanos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28F3CDAE" w:rsidR="00123695" w:rsidRDefault="00123695" w:rsidP="00454E14">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5742BC9C" w14:textId="77777777" w:rsidR="00454E14" w:rsidRPr="00123695" w:rsidRDefault="00454E14" w:rsidP="00454E14">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216C52"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216C52">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16C52">
        <w:rPr>
          <w:rFonts w:ascii="Arial" w:eastAsia="Aptos" w:hAnsi="Arial" w:cs="Arial"/>
          <w:noProof/>
          <w:kern w:val="2"/>
          <w:sz w:val="22"/>
          <w:szCs w:val="22"/>
          <w14:ligatures w14:val="standardContextual"/>
        </w:rPr>
        <w:t xml:space="preserve"> su tinklalapyje </w:t>
      </w:r>
      <w:hyperlink r:id="rId12" w:history="1">
        <w:r w:rsidRPr="00216C52">
          <w:rPr>
            <w:rFonts w:ascii="Arial" w:eastAsia="Aptos" w:hAnsi="Arial" w:cs="Arial"/>
            <w:noProof/>
            <w:color w:val="467886"/>
            <w:kern w:val="2"/>
            <w:sz w:val="22"/>
            <w:szCs w:val="22"/>
            <w:u w:val="single"/>
            <w14:ligatures w14:val="standardContextual"/>
          </w:rPr>
          <w:t>www.ltg.lt</w:t>
        </w:r>
      </w:hyperlink>
      <w:r w:rsidRPr="00216C5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16C52">
          <w:rPr>
            <w:rFonts w:ascii="Arial" w:eastAsia="Aptos" w:hAnsi="Arial" w:cs="Arial"/>
            <w:noProof/>
            <w:color w:val="467886"/>
            <w:kern w:val="2"/>
            <w:sz w:val="22"/>
            <w:szCs w:val="22"/>
            <w:u w:val="single"/>
            <w14:ligatures w14:val="standardContextual"/>
          </w:rPr>
          <w:t>Sankcijų įgyvendinimo ir kontrolės politika</w:t>
        </w:r>
      </w:hyperlink>
      <w:r w:rsidRPr="00216C52">
        <w:rPr>
          <w:rFonts w:ascii="Arial" w:eastAsia="Aptos" w:hAnsi="Arial" w:cs="Arial"/>
          <w:noProof/>
          <w:kern w:val="2"/>
          <w:sz w:val="22"/>
          <w:szCs w:val="22"/>
          <w14:ligatures w14:val="standardContextual"/>
        </w:rPr>
        <w:t xml:space="preserve">, </w:t>
      </w:r>
      <w:hyperlink r:id="rId14" w:tooltip="https://ltg.lt/apie-mus/korupcijos-prevencija/" w:history="1">
        <w:r w:rsidRPr="00216C52">
          <w:rPr>
            <w:rFonts w:ascii="Arial" w:eastAsia="Aptos" w:hAnsi="Arial" w:cs="Arial"/>
            <w:noProof/>
            <w:color w:val="467886"/>
            <w:kern w:val="2"/>
            <w:sz w:val="22"/>
            <w:szCs w:val="22"/>
            <w:u w:val="single"/>
            <w14:ligatures w14:val="standardContextual"/>
          </w:rPr>
          <w:t>Atsparumo korupcijai politika</w:t>
        </w:r>
      </w:hyperlink>
      <w:r w:rsidRPr="00216C52">
        <w:rPr>
          <w:rFonts w:ascii="Arial" w:eastAsia="Aptos" w:hAnsi="Arial" w:cs="Arial"/>
          <w:noProof/>
          <w:kern w:val="2"/>
          <w:sz w:val="22"/>
          <w:szCs w:val="22"/>
          <w14:ligatures w14:val="standardContextual"/>
        </w:rPr>
        <w:t xml:space="preserve">, </w:t>
      </w:r>
      <w:hyperlink r:id="rId15" w:tooltip="https://ltg.lt/apie-mus/valdymas/vidaus-teises-aktai/" w:history="1">
        <w:r w:rsidRPr="00216C52">
          <w:rPr>
            <w:rFonts w:ascii="Arial" w:eastAsia="Aptos" w:hAnsi="Arial" w:cs="Arial"/>
            <w:noProof/>
            <w:color w:val="467886"/>
            <w:kern w:val="2"/>
            <w:sz w:val="22"/>
            <w:szCs w:val="22"/>
            <w:u w:val="single"/>
            <w14:ligatures w14:val="standardContextual"/>
          </w:rPr>
          <w:t>Nacionalinio saugumo atitikties politika</w:t>
        </w:r>
      </w:hyperlink>
      <w:r w:rsidRPr="00216C5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19B9F18C"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454E14">
        <w:rPr>
          <w:rFonts w:ascii="Arial" w:hAnsi="Arial" w:cs="Arial"/>
          <w:sz w:val="22"/>
          <w:szCs w:val="22"/>
        </w:rPr>
        <w:t>siūlomas prekes.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52"/>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4E14"/>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2A74"/>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