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5684" w14:textId="77777777" w:rsidR="00EF3F7E" w:rsidRDefault="00000000">
      <w:pPr>
        <w:jc w:val="both"/>
      </w:pPr>
      <w:r>
        <w:rPr>
          <w:b/>
          <w:i/>
        </w:rPr>
        <w:t>Suvestinė redakcija nuo 2023-08-24</w:t>
      </w:r>
    </w:p>
    <w:p w14:paraId="767EEB1A" w14:textId="77777777" w:rsidR="00EF3F7E" w:rsidRDefault="00EF3F7E">
      <w:pPr>
        <w:jc w:val="both"/>
        <w:rPr>
          <w:sz w:val="20"/>
        </w:rPr>
      </w:pPr>
    </w:p>
    <w:p w14:paraId="7E0E4CE3" w14:textId="77777777" w:rsidR="00EF3F7E" w:rsidRDefault="00000000">
      <w:pPr>
        <w:jc w:val="both"/>
        <w:rPr>
          <w:sz w:val="20"/>
        </w:rPr>
      </w:pPr>
      <w:r>
        <w:rPr>
          <w:i/>
          <w:sz w:val="20"/>
        </w:rPr>
        <w:t xml:space="preserve">Įsakymas paskelbtas: Žin. 2008, 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74-2907</w:t>
        </w:r>
      </w:hyperlink>
      <w:r>
        <w:rPr>
          <w:rFonts w:eastAsia="MS Mincho"/>
          <w:i/>
          <w:iCs/>
          <w:sz w:val="20"/>
        </w:rPr>
        <w:t>, i. k. 108301MISAK00D1-343</w:t>
      </w:r>
    </w:p>
    <w:p w14:paraId="05A897D4" w14:textId="77777777" w:rsidR="00EF3F7E" w:rsidRDefault="00EF3F7E">
      <w:pPr>
        <w:jc w:val="both"/>
        <w:rPr>
          <w:sz w:val="20"/>
        </w:rPr>
      </w:pPr>
    </w:p>
    <w:p w14:paraId="2FD56121" w14:textId="77777777" w:rsidR="00EF3F7E" w:rsidRDefault="00000000">
      <w:pPr>
        <w:rPr>
          <w:b/>
          <w:i/>
          <w:sz w:val="20"/>
        </w:rPr>
      </w:pPr>
      <w:r>
        <w:rPr>
          <w:b/>
          <w:i/>
          <w:sz w:val="20"/>
        </w:rPr>
        <w:t>Nauja redakcija nuo 2023-08-24:</w:t>
      </w:r>
    </w:p>
    <w:p w14:paraId="27FC02E9" w14:textId="77777777" w:rsidR="00EF3F7E" w:rsidRDefault="00000000">
      <w:pPr>
        <w:rPr>
          <w:i/>
          <w:sz w:val="20"/>
        </w:rPr>
      </w:pPr>
      <w:r>
        <w:rPr>
          <w:i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D1-289</w:t>
        </w:r>
      </w:hyperlink>
      <w:r>
        <w:rPr>
          <w:rFonts w:eastAsia="MS Mincho"/>
          <w:i/>
          <w:iCs/>
          <w:sz w:val="20"/>
        </w:rPr>
        <w:t>, 2023-08-23, paskelbta TAR 2023-08-23, i. k. 2023-16521</w:t>
      </w:r>
    </w:p>
    <w:p w14:paraId="0A0868E8" w14:textId="77777777" w:rsidR="00EF3F7E" w:rsidRDefault="00EF3F7E">
      <w:pPr>
        <w:rPr>
          <w:sz w:val="22"/>
        </w:rPr>
      </w:pPr>
    </w:p>
    <w:p w14:paraId="7FAD51F6" w14:textId="77777777" w:rsidR="00EF3F7E" w:rsidRDefault="00000000">
      <w:pPr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 LIETUVOS RESPUBLIKOS APLINKOS MINISTRAS</w:t>
      </w:r>
    </w:p>
    <w:p w14:paraId="372E47B9" w14:textId="77777777" w:rsidR="00EF3F7E" w:rsidRDefault="00EF3F7E">
      <w:pPr>
        <w:suppressAutoHyphens/>
        <w:jc w:val="center"/>
        <w:rPr>
          <w:b/>
          <w:bCs/>
          <w:lang w:eastAsia="lt-LT"/>
        </w:rPr>
      </w:pPr>
    </w:p>
    <w:p w14:paraId="058259B4" w14:textId="77777777" w:rsidR="00EF3F7E" w:rsidRDefault="00000000">
      <w:pPr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ĮSAKYMAS</w:t>
      </w:r>
    </w:p>
    <w:p w14:paraId="74B80B87" w14:textId="77777777" w:rsidR="00EF3F7E" w:rsidRDefault="00000000">
      <w:pPr>
        <w:jc w:val="center"/>
        <w:rPr>
          <w:rFonts w:ascii="TimesLT" w:hAnsi="TimesLT"/>
          <w:b/>
          <w:bCs/>
          <w:color w:val="000000"/>
          <w:szCs w:val="24"/>
          <w:lang w:val="en-US"/>
        </w:rPr>
      </w:pPr>
      <w:r>
        <w:rPr>
          <w:rFonts w:ascii="TimesLT" w:hAnsi="TimesLT"/>
          <w:b/>
          <w:bCs/>
          <w:color w:val="000000"/>
          <w:szCs w:val="24"/>
          <w:lang w:val="en-US"/>
        </w:rPr>
        <w:t>DĖL ŽELDINIŲ ATKURIAMOSIOS VERTĖS ĮKAINIŲ PATVIRTINIMO</w:t>
      </w:r>
    </w:p>
    <w:p w14:paraId="539F42A3" w14:textId="77777777" w:rsidR="00EF3F7E" w:rsidRDefault="00EF3F7E">
      <w:pPr>
        <w:jc w:val="both"/>
        <w:rPr>
          <w:color w:val="000000"/>
          <w:szCs w:val="24"/>
          <w:lang w:eastAsia="ar-SA"/>
        </w:rPr>
      </w:pPr>
    </w:p>
    <w:p w14:paraId="1FCC4627" w14:textId="77777777" w:rsidR="00EF3F7E" w:rsidRDefault="00000000">
      <w:pPr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2008 m. birželio 26 d. Nr. D1-343</w:t>
      </w:r>
    </w:p>
    <w:p w14:paraId="7AABFEF6" w14:textId="77777777" w:rsidR="00EF3F7E" w:rsidRDefault="00000000">
      <w:pPr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Vilnius</w:t>
      </w:r>
    </w:p>
    <w:p w14:paraId="3361176F" w14:textId="77777777" w:rsidR="00EF3F7E" w:rsidRDefault="00EF3F7E">
      <w:pPr>
        <w:jc w:val="both"/>
        <w:rPr>
          <w:color w:val="000000"/>
          <w:szCs w:val="24"/>
          <w:lang w:eastAsia="ar-SA"/>
        </w:rPr>
      </w:pPr>
    </w:p>
    <w:p w14:paraId="2ECCBEBD" w14:textId="77777777" w:rsidR="00EF3F7E" w:rsidRDefault="00000000">
      <w:pPr>
        <w:ind w:firstLine="720"/>
        <w:jc w:val="both"/>
        <w:rPr>
          <w:szCs w:val="24"/>
        </w:rPr>
      </w:pPr>
      <w:r>
        <w:rPr>
          <w:b/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3BDB1F9D" wp14:editId="6058AB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" cy="9525"/>
            <wp:effectExtent l="0" t="0" r="0" b="0"/>
            <wp:wrapNone/>
            <wp:docPr id="1" name="Picture 1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Vadovaudamasis Lietuvos Respublikos želdynų įstatymo 13 straipsnio 1 dalimi, </w:t>
      </w:r>
    </w:p>
    <w:p w14:paraId="7FBE2216" w14:textId="77777777" w:rsidR="00EF3F7E" w:rsidRDefault="00000000">
      <w:pPr>
        <w:ind w:firstLine="720"/>
        <w:jc w:val="both"/>
      </w:pPr>
      <w:r>
        <w:rPr>
          <w:spacing w:val="60"/>
          <w:szCs w:val="24"/>
        </w:rPr>
        <w:t>t v i r t i n u</w:t>
      </w:r>
      <w:r>
        <w:rPr>
          <w:szCs w:val="24"/>
        </w:rPr>
        <w:t xml:space="preserve"> Želdinių atkuriamosios vertės įkainius (pridedama).</w:t>
      </w:r>
      <w:r>
        <w:t xml:space="preserve"> </w:t>
      </w:r>
    </w:p>
    <w:p w14:paraId="3C2EA67F" w14:textId="77777777" w:rsidR="00EF3F7E" w:rsidRDefault="00EF3F7E">
      <w:pPr>
        <w:tabs>
          <w:tab w:val="right" w:pos="9071"/>
        </w:tabs>
        <w:jc w:val="both"/>
      </w:pPr>
    </w:p>
    <w:p w14:paraId="64B61D64" w14:textId="77777777" w:rsidR="00EF3F7E" w:rsidRDefault="00EF3F7E">
      <w:pPr>
        <w:tabs>
          <w:tab w:val="right" w:pos="9071"/>
        </w:tabs>
        <w:jc w:val="both"/>
      </w:pPr>
    </w:p>
    <w:p w14:paraId="39927B91" w14:textId="77777777" w:rsidR="00EF3F7E" w:rsidRDefault="00EF3F7E">
      <w:pPr>
        <w:tabs>
          <w:tab w:val="right" w:pos="9071"/>
        </w:tabs>
        <w:jc w:val="both"/>
      </w:pPr>
    </w:p>
    <w:p w14:paraId="439B3547" w14:textId="77777777" w:rsidR="00EF3F7E" w:rsidRDefault="00000000">
      <w:pPr>
        <w:tabs>
          <w:tab w:val="right" w:pos="9071"/>
        </w:tabs>
        <w:jc w:val="both"/>
      </w:pPr>
      <w:r>
        <w:t>APLINKOS MINISTRAS</w:t>
      </w:r>
      <w:r>
        <w:tab/>
        <w:t>ARTŪRAS PAULAUSKAS</w:t>
      </w:r>
    </w:p>
    <w:p w14:paraId="3457C933" w14:textId="77777777" w:rsidR="00EF3F7E" w:rsidRDefault="00EF3F7E"/>
    <w:p w14:paraId="26CE6C4A" w14:textId="77777777" w:rsidR="00EF3F7E" w:rsidRDefault="00EF3F7E">
      <w:pPr>
        <w:widowControl w:val="0"/>
        <w:suppressAutoHyphens/>
        <w:ind w:left="4678" w:firstLine="362"/>
        <w:sectPr w:rsidR="00EF3F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/>
          <w:pgMar w:top="993" w:right="708" w:bottom="1032" w:left="1701" w:header="851" w:footer="919" w:gutter="0"/>
          <w:cols w:space="1296"/>
          <w:formProt w:val="0"/>
          <w:titlePg/>
          <w:docGrid w:linePitch="360"/>
        </w:sectPr>
      </w:pPr>
    </w:p>
    <w:p w14:paraId="581D26A7" w14:textId="77777777" w:rsidR="00EF3F7E" w:rsidRDefault="00000000">
      <w:pPr>
        <w:widowControl w:val="0"/>
        <w:suppressAutoHyphens/>
        <w:ind w:left="4678"/>
        <w:rPr>
          <w:lang w:eastAsia="lt-LT"/>
        </w:rPr>
      </w:pPr>
      <w:r>
        <w:rPr>
          <w:lang w:eastAsia="lt-LT"/>
        </w:rPr>
        <w:lastRenderedPageBreak/>
        <w:t>PATVIRTINTA</w:t>
      </w:r>
    </w:p>
    <w:p w14:paraId="7160B15A" w14:textId="77777777" w:rsidR="00EF3F7E" w:rsidRDefault="00000000">
      <w:pPr>
        <w:widowControl w:val="0"/>
        <w:suppressAutoHyphens/>
        <w:ind w:left="4678"/>
        <w:rPr>
          <w:lang w:eastAsia="lt-LT"/>
        </w:rPr>
      </w:pPr>
      <w:r>
        <w:rPr>
          <w:lang w:eastAsia="lt-LT"/>
        </w:rPr>
        <w:t xml:space="preserve">Lietuvos Respublikos aplinkos ministro </w:t>
      </w:r>
      <w:r>
        <w:rPr>
          <w:lang w:eastAsia="lt-LT"/>
        </w:rPr>
        <w:br/>
        <w:t>2008 m. birželio 26 d. įsakymu Nr. D1-343</w:t>
      </w:r>
    </w:p>
    <w:p w14:paraId="2580BDFC" w14:textId="77777777" w:rsidR="00EF3F7E" w:rsidRDefault="00000000">
      <w:pPr>
        <w:widowControl w:val="0"/>
        <w:suppressAutoHyphens/>
        <w:ind w:left="4678"/>
        <w:rPr>
          <w:lang w:eastAsia="lt-LT"/>
        </w:rPr>
      </w:pPr>
      <w:r>
        <w:rPr>
          <w:lang w:eastAsia="lt-LT"/>
        </w:rPr>
        <w:t xml:space="preserve">(Lietuvos Respublikos aplinkos ministro </w:t>
      </w:r>
      <w:r>
        <w:rPr>
          <w:lang w:eastAsia="lt-LT"/>
        </w:rPr>
        <w:br/>
        <w:t>2023 m. rugpjūčio 23 d. įsakymo Nr. D1</w:t>
      </w:r>
      <w:r>
        <w:rPr>
          <w:szCs w:val="24"/>
          <w:lang w:eastAsia="lt-LT"/>
        </w:rPr>
        <w:t>-</w:t>
      </w:r>
      <w:r>
        <w:rPr>
          <w:lang w:eastAsia="lt-LT"/>
        </w:rPr>
        <w:t>289</w:t>
      </w:r>
    </w:p>
    <w:p w14:paraId="570542CA" w14:textId="77777777" w:rsidR="00EF3F7E" w:rsidRDefault="00000000">
      <w:pPr>
        <w:widowControl w:val="0"/>
        <w:suppressAutoHyphens/>
        <w:ind w:left="4678"/>
        <w:rPr>
          <w:lang w:eastAsia="lt-LT"/>
        </w:rPr>
      </w:pPr>
      <w:r>
        <w:rPr>
          <w:lang w:eastAsia="lt-LT"/>
        </w:rPr>
        <w:t>redakcija)</w:t>
      </w:r>
    </w:p>
    <w:p w14:paraId="7FE01BD7" w14:textId="77777777" w:rsidR="00EF3F7E" w:rsidRDefault="00EF3F7E">
      <w:pPr>
        <w:suppressAutoHyphens/>
        <w:spacing w:line="276" w:lineRule="auto"/>
        <w:jc w:val="both"/>
        <w:rPr>
          <w:rFonts w:eastAsia="Andale Sans UI"/>
          <w:szCs w:val="24"/>
          <w:lang w:eastAsia="lt-LT"/>
        </w:rPr>
      </w:pPr>
    </w:p>
    <w:p w14:paraId="53990CDA" w14:textId="77777777" w:rsidR="00EF3F7E" w:rsidRDefault="00000000">
      <w:pPr>
        <w:suppressAutoHyphens/>
        <w:spacing w:line="276" w:lineRule="auto"/>
        <w:jc w:val="center"/>
        <w:rPr>
          <w:rFonts w:eastAsia="Andale Sans UI"/>
          <w:szCs w:val="24"/>
          <w:lang w:eastAsia="lt-LT"/>
        </w:rPr>
      </w:pPr>
      <w:r>
        <w:rPr>
          <w:b/>
          <w:bCs/>
          <w:lang w:eastAsia="lt-LT"/>
        </w:rPr>
        <w:t>ŽELDINIŲ ATKURIAMOSIOS VERTĖS ĮKAINIAI</w:t>
      </w:r>
    </w:p>
    <w:p w14:paraId="318EE9E1" w14:textId="77777777" w:rsidR="00EF3F7E" w:rsidRDefault="00EF3F7E">
      <w:pPr>
        <w:suppressAutoHyphens/>
        <w:jc w:val="both"/>
        <w:rPr>
          <w:rFonts w:eastAsia="Andale Sans UI"/>
          <w:szCs w:val="24"/>
          <w:lang w:eastAsia="lt-LT"/>
        </w:rPr>
      </w:pPr>
    </w:p>
    <w:p w14:paraId="52AF18AE" w14:textId="77777777" w:rsidR="00EF3F7E" w:rsidRDefault="00000000">
      <w:pPr>
        <w:widowControl w:val="0"/>
        <w:suppressAutoHyphens/>
        <w:ind w:firstLine="567"/>
        <w:jc w:val="both"/>
        <w:rPr>
          <w:lang w:eastAsia="lt-LT"/>
        </w:rPr>
      </w:pPr>
      <w:r>
        <w:rPr>
          <w:color w:val="000000"/>
          <w:lang w:eastAsia="lt-LT"/>
        </w:rPr>
        <w:t>1. Želdinių atkuriamosios vertės įkainiai taikomi norint įvertinti želdinius.</w:t>
      </w:r>
      <w:r>
        <w:rPr>
          <w:lang w:eastAsia="lt-LT"/>
        </w:rPr>
        <w:t xml:space="preserve"> </w:t>
      </w:r>
    </w:p>
    <w:p w14:paraId="2252B10A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Medžių atkuriamosios vertės įkainiai (už kiekvieną kamieno skersmens centimetrą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1,3 m kamieno aukštyje, o nupjautą medį matuojant kelmo aukštyje), atsižvelgiant į 1 priede nurodytą medžių grupę:</w:t>
      </w:r>
    </w:p>
    <w:p w14:paraId="595EA0B3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I grupė – 5 eurai;</w:t>
      </w:r>
    </w:p>
    <w:p w14:paraId="1E47EB97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II grupė – 9 eurai;</w:t>
      </w:r>
    </w:p>
    <w:p w14:paraId="4825BD4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szCs w:val="24"/>
          <w:lang w:eastAsia="lt-LT"/>
        </w:rPr>
        <w:t>2.</w:t>
      </w:r>
      <w:r>
        <w:rPr>
          <w:lang w:eastAsia="lt-LT"/>
        </w:rPr>
        <w:t>3. III grupė – 14</w:t>
      </w:r>
      <w:r>
        <w:rPr>
          <w:szCs w:val="24"/>
          <w:lang w:eastAsia="lt-LT"/>
        </w:rPr>
        <w:t xml:space="preserve"> eurų</w:t>
      </w:r>
      <w:r>
        <w:rPr>
          <w:lang w:eastAsia="lt-LT"/>
        </w:rPr>
        <w:t>;</w:t>
      </w:r>
    </w:p>
    <w:p w14:paraId="6ADBE459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2.4. IV grupė – 20</w:t>
      </w:r>
      <w:r>
        <w:rPr>
          <w:szCs w:val="24"/>
          <w:lang w:eastAsia="lt-LT"/>
        </w:rPr>
        <w:t xml:space="preserve"> eurų.</w:t>
      </w:r>
      <w:r>
        <w:rPr>
          <w:lang w:eastAsia="lt-LT"/>
        </w:rPr>
        <w:t xml:space="preserve"> </w:t>
      </w:r>
    </w:p>
    <w:p w14:paraId="10D41F13" w14:textId="77777777" w:rsidR="00EF3F7E" w:rsidRDefault="00000000">
      <w:pPr>
        <w:suppressAutoHyphens/>
        <w:spacing w:line="300" w:lineRule="atLeast"/>
        <w:ind w:firstLine="567"/>
        <w:jc w:val="both"/>
        <w:rPr>
          <w:lang w:eastAsia="lt-LT"/>
        </w:rPr>
      </w:pPr>
      <w:r>
        <w:rPr>
          <w:szCs w:val="24"/>
          <w:lang w:eastAsia="lt-LT"/>
        </w:rPr>
        <w:t>3. Pirmos grupės medžiams, kurių skersmuo iki 8 cm, ir invazinių rūšių augalams, įrašytiems į Invazinių rūšių Lietuvoje sąrašą, patvirtintą Lietuvos Respublikos aplinkos ministro 2004 m. rugpjūčio 16 d. įsakymu Nr. D1-433 „Dėl Invazinių Lietuvoje rūšių sąrašo patvirtinimo“, atkuriamosios vertės įkainiai nenustatomi</w:t>
      </w:r>
      <w:r>
        <w:rPr>
          <w:lang w:eastAsia="lt-LT"/>
        </w:rPr>
        <w:t>.</w:t>
      </w:r>
    </w:p>
    <w:p w14:paraId="34B8CF61" w14:textId="77777777" w:rsidR="00EF3F7E" w:rsidRDefault="00000000">
      <w:pPr>
        <w:tabs>
          <w:tab w:val="left" w:pos="504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4. Iš vieno kelmo augantys keli kamienai laikomi atskirais medžiais. Kai medis šakojasi į kelis kamienus aukščiau kaip 1,4 m nuo šaknies kaklelio, kamienai nelaikomi atskirais medžiais.</w:t>
      </w:r>
    </w:p>
    <w:p w14:paraId="30F88DE9" w14:textId="77777777" w:rsidR="00EF3F7E" w:rsidRDefault="00000000">
      <w:pPr>
        <w:tabs>
          <w:tab w:val="left" w:pos="504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5. Medžių atkuriamosios vertės įkainiai, nurodyti 2.1–2.4 papunkčiuose, didinami atsižvelgus į augimo vietą ir neatsižvelgiant į nuosavybės formą:</w:t>
      </w:r>
    </w:p>
    <w:p w14:paraId="4A68FD09" w14:textId="77777777" w:rsidR="00EF3F7E" w:rsidRDefault="00000000">
      <w:pPr>
        <w:widowControl w:val="0"/>
        <w:suppressAutoHyphens/>
        <w:ind w:firstLine="567"/>
        <w:jc w:val="both"/>
        <w:rPr>
          <w:lang w:eastAsia="lt-LT"/>
        </w:rPr>
      </w:pPr>
      <w:r>
        <w:rPr>
          <w:color w:val="000000"/>
          <w:lang w:eastAsia="lt-LT"/>
        </w:rPr>
        <w:t>5.1. neteisėtai sunaikinus botanikos sodų ir kitose dendrologinėse kolekcijose (rinkiniuose), kultūriniuose rezervatuose ir arboretumuose augančius medžius – 5 kartus;</w:t>
      </w:r>
      <w:r>
        <w:rPr>
          <w:lang w:eastAsia="lt-LT"/>
        </w:rPr>
        <w:t xml:space="preserve"> </w:t>
      </w:r>
    </w:p>
    <w:p w14:paraId="38C0107F" w14:textId="77777777" w:rsidR="00EF3F7E" w:rsidRDefault="00000000">
      <w:pPr>
        <w:tabs>
          <w:tab w:val="left" w:pos="643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5.2. istoriniuose želdynuose, valstybinės reikšmės parkuose, teritorijų planavimo dokumentuose nustatytose miestų </w:t>
      </w:r>
      <w:r>
        <w:rPr>
          <w:szCs w:val="24"/>
          <w:lang w:eastAsia="lt-LT"/>
        </w:rPr>
        <w:t>centrų zonose, didmiesčių pagrindinio centro zonoje ir didmiesčių miesto dalių centrų zonose,</w:t>
      </w:r>
      <w:r>
        <w:rPr>
          <w:lang w:eastAsia="lt-LT"/>
        </w:rPr>
        <w:t xml:space="preserve"> miestuose ir miesteliuose esančių kultūros paveldo vietovių teritorijoje, miestų ir miestelių parkuose, skveruose augantiems medžiams – 3 kartus;</w:t>
      </w:r>
    </w:p>
    <w:p w14:paraId="3B45A3E4" w14:textId="77777777" w:rsidR="00EF3F7E" w:rsidRDefault="00000000">
      <w:pPr>
        <w:widowControl w:val="0"/>
        <w:suppressAutoHyphens/>
        <w:ind w:firstLine="567"/>
        <w:jc w:val="both"/>
        <w:rPr>
          <w:lang w:eastAsia="lt-LT"/>
        </w:rPr>
      </w:pPr>
      <w:r>
        <w:rPr>
          <w:spacing w:val="-6"/>
          <w:lang w:eastAsia="lt-LT"/>
        </w:rPr>
        <w:t>5.3. kitose miestų ir miestelių teritorijose (išskyrus nurodytas 5.1 ir 5.2 papunkčiuose) augantiems medžiams – 2 kartus;</w:t>
      </w:r>
      <w:r>
        <w:rPr>
          <w:lang w:eastAsia="lt-LT"/>
        </w:rPr>
        <w:t xml:space="preserve"> </w:t>
      </w:r>
    </w:p>
    <w:p w14:paraId="79AD2DCD" w14:textId="77777777" w:rsidR="00EF3F7E" w:rsidRDefault="00000000">
      <w:pPr>
        <w:widowControl w:val="0"/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5.4. kaimų gyvenamųjų vietovių bendro naudojimo teritorijose ir mėgėjų sodų teritorijų (ne miesto teritorijoje) bendrojo naudojimo žemėje augantiems medžiams – 1,5 karto.</w:t>
      </w:r>
    </w:p>
    <w:p w14:paraId="03C318B9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Krūmų atkuriamosios vertės įkainiai (už vieną krūmą):</w:t>
      </w:r>
    </w:p>
    <w:p w14:paraId="6E981F6F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6.1. vietinis krūmas, išskyrus europinį kukmedį, − 14 eurų;</w:t>
      </w:r>
    </w:p>
    <w:p w14:paraId="5CFAE84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szCs w:val="24"/>
          <w:lang w:eastAsia="lt-LT"/>
        </w:rPr>
        <w:t>6.2. europinis kukmedis ir introdukuoti krūmai − 35 eurai.</w:t>
      </w:r>
      <w:r>
        <w:rPr>
          <w:lang w:eastAsia="lt-LT"/>
        </w:rPr>
        <w:t xml:space="preserve"> </w:t>
      </w:r>
    </w:p>
    <w:p w14:paraId="20AE98EF" w14:textId="77777777" w:rsidR="00EF3F7E" w:rsidRDefault="00000000">
      <w:pPr>
        <w:widowControl w:val="0"/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7. Krūmai skaičiuojami vienetais, atsižvelgiant į šaknų kelmelius ir neatsižvelgiant į stiebų skaičių. Laikoma, kad vienos eilės gyvatvorės metre auga 3 medžiai ir (ar) krūmai, dviejų eilių gyvatvorės metre – 5 medžiai ir (ar) krūmai. Laikoma, kad krūmais užsodintos (didesnėje kaip 1 kvadratinio metro) teritorijos kvadratiniame metre auga 9 krūmai. </w:t>
      </w:r>
    </w:p>
    <w:p w14:paraId="652DBCD3" w14:textId="77777777" w:rsidR="00EF3F7E" w:rsidRDefault="00000000">
      <w:pPr>
        <w:tabs>
          <w:tab w:val="left" w:pos="504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8. Krūmų įkainiai, nurodyti 6.1 ir 6.2 papunkčiuose, atsižvelgiant į augimo vietą, didinami:</w:t>
      </w:r>
    </w:p>
    <w:p w14:paraId="26B1C6BE" w14:textId="77777777" w:rsidR="00EF3F7E" w:rsidRDefault="00000000">
      <w:pPr>
        <w:tabs>
          <w:tab w:val="left" w:pos="653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8.1. neteisėtai sunaikinus botanikos sodų ir kitose dendrologinėse kolekcijose (rinkiniuose), arboretumuose augančius krūmus – 3 kartus;</w:t>
      </w:r>
    </w:p>
    <w:p w14:paraId="0D222392" w14:textId="77777777" w:rsidR="00EF3F7E" w:rsidRDefault="00000000">
      <w:pPr>
        <w:tabs>
          <w:tab w:val="left" w:pos="648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8.2. istoriniuose želdynuose, valstybinės reikšmės parkuose, miestų </w:t>
      </w:r>
      <w:r>
        <w:rPr>
          <w:szCs w:val="24"/>
          <w:lang w:eastAsia="lt-LT"/>
        </w:rPr>
        <w:t>centrų zonose, didmiesčių pagrindinio centro zonoje ir didmiesčių miesto dalių centrų zonose,</w:t>
      </w:r>
      <w:r>
        <w:rPr>
          <w:lang w:eastAsia="lt-LT"/>
        </w:rPr>
        <w:t xml:space="preserve"> kultūros paveldo vietovės urbanizuotoje teritorijoje, miestų ir miestelių parkuose, skveruose augantiems krūmams – 2 kartus;</w:t>
      </w:r>
    </w:p>
    <w:p w14:paraId="71BB4285" w14:textId="77777777" w:rsidR="00EF3F7E" w:rsidRDefault="00000000">
      <w:pPr>
        <w:tabs>
          <w:tab w:val="left" w:pos="648"/>
        </w:tabs>
        <w:suppressAutoHyphens/>
        <w:ind w:firstLine="629"/>
        <w:jc w:val="both"/>
        <w:rPr>
          <w:lang w:eastAsia="lt-LT"/>
        </w:rPr>
      </w:pPr>
      <w:r>
        <w:rPr>
          <w:lang w:eastAsia="lt-LT"/>
        </w:rPr>
        <w:t>8.3. gyvenamosiose teritorijose (išskyrus privačiose namų valdose), visuomeninės paskirties teritorijose ir prie gatvių augantiems krūmams – 1,5 karto.</w:t>
      </w:r>
    </w:p>
    <w:p w14:paraId="37F3E825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9. Lianų (vieneto) atkuriamosios vertės įkainiai:</w:t>
      </w:r>
    </w:p>
    <w:p w14:paraId="231DA8C9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9.1. aktinidija, citrinvytis, raganė − 35 eurai;</w:t>
      </w:r>
    </w:p>
    <w:p w14:paraId="43E0FC96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szCs w:val="24"/>
          <w:lang w:eastAsia="lt-LT"/>
        </w:rPr>
        <w:t>9.2. kitos lianos − 21 euras.</w:t>
      </w:r>
      <w:r>
        <w:rPr>
          <w:lang w:eastAsia="lt-LT"/>
        </w:rPr>
        <w:t xml:space="preserve"> </w:t>
      </w:r>
    </w:p>
    <w:p w14:paraId="2946F0F8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10. Želdinių atkuriamosios vertės įkainiai, atsižvelgiant į želdinių būklę (2 priedas), mažinami (išskyrus geros būklės želdinius ir atvejus, kai atkuriamosios vertės įkainiai taikomi apskaičiuojant fizinių ir juridinių asmenų </w:t>
      </w:r>
      <w:r>
        <w:rPr>
          <w:lang w:eastAsia="lt-LT"/>
        </w:rPr>
        <w:t>želdynams ir želdiniams padarytą žalą</w:t>
      </w:r>
      <w:r>
        <w:rPr>
          <w:szCs w:val="24"/>
          <w:lang w:eastAsia="lt-LT"/>
        </w:rPr>
        <w:t>, dėl kurios buvo ar nebuvo pažeistos želdinių gyvybinės funkcijos ir želdinio būklė pakito):</w:t>
      </w:r>
    </w:p>
    <w:p w14:paraId="219711D8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10.1. patenkinamos būklės želdiniams – 25 proc.;</w:t>
      </w:r>
    </w:p>
    <w:p w14:paraId="3B944457" w14:textId="77777777" w:rsidR="00EF3F7E" w:rsidRDefault="00000000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10.2. nepatenkinamos būklės želdiniams – 50 proc.;</w:t>
      </w:r>
    </w:p>
    <w:p w14:paraId="420E9246" w14:textId="77777777" w:rsidR="00EF3F7E" w:rsidRDefault="00000000">
      <w:pPr>
        <w:suppressAutoHyphens/>
        <w:ind w:firstLine="567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10.3. blogos būklės želdiniams – 75 proc.;</w:t>
      </w:r>
    </w:p>
    <w:p w14:paraId="440E6B02" w14:textId="77777777" w:rsidR="00EF3F7E" w:rsidRDefault="00000000">
      <w:pPr>
        <w:suppressAutoHyphens/>
        <w:ind w:firstLine="567"/>
        <w:rPr>
          <w:lang w:eastAsia="lt-LT"/>
        </w:rPr>
      </w:pPr>
      <w:r>
        <w:rPr>
          <w:szCs w:val="24"/>
          <w:lang w:eastAsia="lt-LT"/>
        </w:rPr>
        <w:t>10.4. žuvusiems želdiniams – 100 proc.</w:t>
      </w:r>
      <w:r>
        <w:rPr>
          <w:lang w:eastAsia="lt-LT"/>
        </w:rPr>
        <w:t xml:space="preserve"> </w:t>
      </w:r>
    </w:p>
    <w:p w14:paraId="782C14EC" w14:textId="77777777" w:rsidR="00EF3F7E" w:rsidRDefault="00000000">
      <w:pPr>
        <w:suppressAutoHyphens/>
        <w:ind w:firstLine="567"/>
        <w:rPr>
          <w:lang w:eastAsia="lt-LT"/>
        </w:rPr>
      </w:pPr>
      <w:r>
        <w:rPr>
          <w:lang w:eastAsia="lt-LT"/>
        </w:rPr>
        <w:t xml:space="preserve">11. Želdinių būklė </w:t>
      </w:r>
      <w:r>
        <w:rPr>
          <w:szCs w:val="24"/>
          <w:lang w:eastAsia="lt-LT"/>
        </w:rPr>
        <w:t>gali būti patikslinta  nukirtus medį ar krūmą.</w:t>
      </w:r>
    </w:p>
    <w:p w14:paraId="4E2BA2D6" w14:textId="77777777" w:rsidR="00EF3F7E" w:rsidRDefault="00000000">
      <w:pPr>
        <w:tabs>
          <w:tab w:val="left" w:pos="567"/>
        </w:tabs>
        <w:suppressAutoHyphens/>
        <w:ind w:firstLine="567"/>
        <w:jc w:val="both"/>
        <w:rPr>
          <w:rFonts w:eastAsia="Andale Sans UI"/>
          <w:szCs w:val="24"/>
          <w:lang w:eastAsia="lt-LT"/>
        </w:rPr>
      </w:pPr>
      <w:r>
        <w:rPr>
          <w:szCs w:val="24"/>
          <w:lang w:eastAsia="lt-LT"/>
        </w:rPr>
        <w:t>12. Įgyvendinant viešųjų atskirųjų želdynų projektus, želdinių atkuriamosios vertės įkainiams netaikomas 5 ir 8 punktuose nustatytas įkainių didinimas.</w:t>
      </w:r>
      <w:r>
        <w:rPr>
          <w:lang w:eastAsia="lt-LT"/>
        </w:rPr>
        <w:t xml:space="preserve"> </w:t>
      </w:r>
    </w:p>
    <w:p w14:paraId="7B12C461" w14:textId="77777777" w:rsidR="00EF3F7E" w:rsidRDefault="00000000">
      <w:pPr>
        <w:suppressAutoHyphens/>
        <w:ind w:firstLine="567"/>
        <w:jc w:val="center"/>
      </w:pPr>
      <w:r>
        <w:rPr>
          <w:rFonts w:eastAsia="Andale Sans UI"/>
          <w:szCs w:val="24"/>
          <w:lang w:eastAsia="lt-LT"/>
        </w:rPr>
        <w:t>_______________________</w:t>
      </w:r>
    </w:p>
    <w:p w14:paraId="1A04B8DF" w14:textId="77777777" w:rsidR="00EF3F7E" w:rsidRDefault="00EF3F7E">
      <w:pPr>
        <w:suppressAutoHyphens/>
        <w:ind w:left="5255" w:firstLine="505"/>
        <w:sectPr w:rsidR="00EF3F7E">
          <w:footnotePr>
            <w:pos w:val="beneathText"/>
          </w:footnotePr>
          <w:pgSz w:w="11905" w:h="16837"/>
          <w:pgMar w:top="993" w:right="708" w:bottom="1032" w:left="1701" w:header="851" w:footer="919" w:gutter="0"/>
          <w:pgNumType w:start="1"/>
          <w:cols w:space="1296"/>
          <w:formProt w:val="0"/>
          <w:titlePg/>
          <w:docGrid w:linePitch="360"/>
        </w:sectPr>
      </w:pPr>
    </w:p>
    <w:p w14:paraId="423511C3" w14:textId="77777777" w:rsidR="00EF3F7E" w:rsidRDefault="00000000">
      <w:pPr>
        <w:suppressAutoHyphens/>
        <w:ind w:left="5670"/>
        <w:rPr>
          <w:lang w:eastAsia="lt-LT"/>
        </w:rPr>
      </w:pPr>
      <w:r>
        <w:rPr>
          <w:lang w:eastAsia="lt-LT"/>
        </w:rPr>
        <w:lastRenderedPageBreak/>
        <w:t xml:space="preserve">Želdinių atkuriamosios vertės įkainių </w:t>
      </w:r>
    </w:p>
    <w:p w14:paraId="08F73C03" w14:textId="77777777" w:rsidR="00EF3F7E" w:rsidRDefault="00000000">
      <w:pPr>
        <w:suppressAutoHyphens/>
        <w:ind w:left="5670"/>
        <w:rPr>
          <w:lang w:eastAsia="lt-LT"/>
        </w:rPr>
      </w:pPr>
      <w:r>
        <w:rPr>
          <w:lang w:eastAsia="lt-LT"/>
        </w:rPr>
        <w:t>1 priedas</w:t>
      </w:r>
    </w:p>
    <w:p w14:paraId="0FC5EE39" w14:textId="77777777" w:rsidR="00EF3F7E" w:rsidRDefault="00EF3F7E">
      <w:pPr>
        <w:suppressAutoHyphens/>
        <w:ind w:firstLine="567"/>
        <w:jc w:val="both"/>
        <w:rPr>
          <w:lang w:eastAsia="lt-LT"/>
        </w:rPr>
      </w:pPr>
    </w:p>
    <w:p w14:paraId="3750BDD9" w14:textId="77777777" w:rsidR="00EF3F7E" w:rsidRDefault="00EF3F7E">
      <w:pPr>
        <w:suppressAutoHyphens/>
        <w:ind w:firstLine="567"/>
        <w:jc w:val="both"/>
        <w:rPr>
          <w:lang w:eastAsia="lt-LT"/>
        </w:rPr>
      </w:pPr>
    </w:p>
    <w:p w14:paraId="2F901010" w14:textId="77777777" w:rsidR="00EF3F7E" w:rsidRDefault="00000000">
      <w:pPr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MEDŽIŲ SĄRAŠAS PAGAL GRUPES</w:t>
      </w:r>
    </w:p>
    <w:p w14:paraId="44C514AC" w14:textId="77777777" w:rsidR="00EF3F7E" w:rsidRDefault="00EF3F7E">
      <w:pPr>
        <w:suppressAutoHyphens/>
        <w:jc w:val="center"/>
        <w:rPr>
          <w:lang w:eastAsia="lt-LT"/>
        </w:rPr>
      </w:pPr>
    </w:p>
    <w:p w14:paraId="57B6E2AD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 I medžių grupė:</w:t>
      </w:r>
    </w:p>
    <w:p w14:paraId="1E22D8A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1.1. baltalksnis;</w:t>
      </w:r>
    </w:p>
    <w:p w14:paraId="39DEFF7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1.2. blindė;</w:t>
      </w:r>
    </w:p>
    <w:p w14:paraId="3AFAA4C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1.3. drebulė;</w:t>
      </w:r>
    </w:p>
    <w:p w14:paraId="3C8F995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1.4. gluosniai, išskyrus išvardintus II grupėje;</w:t>
      </w:r>
    </w:p>
    <w:p w14:paraId="6BFA89E7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1.5. tuopos, išskyrus išvardintas II grupėje.</w:t>
      </w:r>
    </w:p>
    <w:p w14:paraId="058940F5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 II medžių grupė:</w:t>
      </w:r>
    </w:p>
    <w:p w14:paraId="7D8DA8FA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2.1. karpotasis beržas;</w:t>
      </w:r>
    </w:p>
    <w:p w14:paraId="3E9884F1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2.2. plaukuotasis beržas;</w:t>
      </w:r>
    </w:p>
    <w:p w14:paraId="7C30F0C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2.3. baltasis gluosnis, svyranti forma;</w:t>
      </w:r>
    </w:p>
    <w:p w14:paraId="7C9223AF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2.4. trapusis gluosnis, rutulinė forma;</w:t>
      </w:r>
    </w:p>
    <w:p w14:paraId="0D6FFAA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2.5. kalninė guoba;</w:t>
      </w:r>
    </w:p>
    <w:p w14:paraId="1BF042F9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2.6. paprastoji eglė;</w:t>
      </w:r>
    </w:p>
    <w:p w14:paraId="6B45FD8E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2.7. paprastoji ieva;</w:t>
      </w:r>
    </w:p>
    <w:p w14:paraId="771D2C2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2.8. juodalksnis;</w:t>
      </w:r>
    </w:p>
    <w:p w14:paraId="35334F26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2.9. paprastasis kadagys (augantis medžiu);</w:t>
      </w:r>
    </w:p>
    <w:p w14:paraId="0C70383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2.10. miškinė kriaušė;</w:t>
      </w:r>
    </w:p>
    <w:p w14:paraId="4828DCB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2.11. didžialapė liepa;</w:t>
      </w:r>
    </w:p>
    <w:p w14:paraId="62A8FAD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2.12. mažalapė liepa;</w:t>
      </w:r>
    </w:p>
    <w:p w14:paraId="07AB6B6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2.13. miškinė obelis;</w:t>
      </w:r>
    </w:p>
    <w:p w14:paraId="56437CA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2.14. paprastoji pušis; </w:t>
      </w:r>
    </w:p>
    <w:p w14:paraId="7612A5CD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2.15. paprastasis skirpstas;</w:t>
      </w:r>
    </w:p>
    <w:p w14:paraId="446FA91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2.16. paprastasis šermukšnis;</w:t>
      </w:r>
    </w:p>
    <w:p w14:paraId="0AB624A2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2.17. vakarinė tuja (auganti medžiu);</w:t>
      </w:r>
    </w:p>
    <w:p w14:paraId="08A80F7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color w:val="000000"/>
          <w:lang w:eastAsia="lt-LT"/>
        </w:rPr>
        <w:t>2.18. tuopa (kolonos formos ar glaustašakė</w:t>
      </w:r>
      <w:r>
        <w:rPr>
          <w:lang w:eastAsia="lt-LT"/>
        </w:rPr>
        <w:t>);</w:t>
      </w:r>
    </w:p>
    <w:p w14:paraId="32659C40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2.19. paprastoji vinkšna.</w:t>
      </w:r>
    </w:p>
    <w:p w14:paraId="7F28052F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 III medžių grupė:</w:t>
      </w:r>
    </w:p>
    <w:p w14:paraId="3D5BD64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3.1. bekotis ąžuolas;</w:t>
      </w:r>
    </w:p>
    <w:p w14:paraId="07386BE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3.2. paprastasis ąžuolas;</w:t>
      </w:r>
    </w:p>
    <w:p w14:paraId="1A8FB43D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3.3. paprastasis klevas;</w:t>
      </w:r>
    </w:p>
    <w:p w14:paraId="16025AA9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3.4. paprastasis skroblas;</w:t>
      </w:r>
    </w:p>
    <w:p w14:paraId="735CB85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3.5. paprastasis uosis;</w:t>
      </w:r>
    </w:p>
    <w:p w14:paraId="4718F597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3.6. kiti medžiai, neišvardinti I, II, III ir IV grupėje, išskyrus invazines augalų rūšis, įrašytas į </w:t>
      </w:r>
      <w:r>
        <w:rPr>
          <w:szCs w:val="24"/>
          <w:lang w:eastAsia="lt-LT"/>
        </w:rPr>
        <w:t>Invazinių Lietuvoje rūšių sąrašą, patvirtintą Lietuvos Respublikos aplinkos ministro 2004 m. rugpjūčio 16 d. įsakymu Nr. D1-433 „Dėl Invazinių Lietuvoje rūšių sąrašo patvirtinimo“</w:t>
      </w:r>
      <w:r>
        <w:rPr>
          <w:lang w:eastAsia="lt-LT"/>
        </w:rPr>
        <w:t>.</w:t>
      </w:r>
    </w:p>
    <w:p w14:paraId="239271CE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4. IV medžių grupė:</w:t>
      </w:r>
    </w:p>
    <w:p w14:paraId="4424BE6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4.1. dviskiautis ginkmedis; </w:t>
      </w:r>
    </w:p>
    <w:p w14:paraId="50A97C10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4.2. tulpmedis;</w:t>
      </w:r>
    </w:p>
    <w:p w14:paraId="11095B51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4.3. dekoratyviniai skiepyti medžiai spalvotais, margais, karpytais lapais, svyruokline, glausta ar rutuliška laja. </w:t>
      </w:r>
    </w:p>
    <w:p w14:paraId="2F00DC50" w14:textId="77777777" w:rsidR="00EF3F7E" w:rsidRDefault="00EF3F7E">
      <w:pPr>
        <w:suppressAutoHyphens/>
        <w:ind w:firstLine="567"/>
        <w:jc w:val="both"/>
        <w:rPr>
          <w:lang w:eastAsia="lt-LT"/>
        </w:rPr>
      </w:pPr>
    </w:p>
    <w:p w14:paraId="4F10B125" w14:textId="77777777" w:rsidR="00EF3F7E" w:rsidRDefault="00000000">
      <w:pPr>
        <w:suppressAutoHyphens/>
        <w:jc w:val="center"/>
      </w:pPr>
      <w:r>
        <w:rPr>
          <w:lang w:eastAsia="lt-LT"/>
        </w:rPr>
        <w:t>_________________</w:t>
      </w:r>
    </w:p>
    <w:p w14:paraId="4E68A83D" w14:textId="77777777" w:rsidR="00EF3F7E" w:rsidRDefault="00EF3F7E">
      <w:pPr>
        <w:ind w:left="5040" w:firstLine="720"/>
        <w:sectPr w:rsidR="00EF3F7E">
          <w:headerReference w:type="default" r:id="rId15"/>
          <w:footnotePr>
            <w:pos w:val="beneathText"/>
          </w:footnotePr>
          <w:pgSz w:w="11905" w:h="16837"/>
          <w:pgMar w:top="993" w:right="708" w:bottom="1032" w:left="1701" w:header="851" w:footer="919" w:gutter="0"/>
          <w:cols w:space="1296"/>
          <w:formProt w:val="0"/>
          <w:titlePg/>
          <w:docGrid w:linePitch="360"/>
        </w:sectPr>
      </w:pPr>
    </w:p>
    <w:p w14:paraId="200B1729" w14:textId="77777777" w:rsidR="00EF3F7E" w:rsidRDefault="00000000">
      <w:pPr>
        <w:ind w:left="5670"/>
      </w:pPr>
      <w:r>
        <w:lastRenderedPageBreak/>
        <w:t xml:space="preserve">Želdinių atkuriamosios vertės įkainių </w:t>
      </w:r>
    </w:p>
    <w:p w14:paraId="6484420E" w14:textId="77777777" w:rsidR="00EF3F7E" w:rsidRDefault="00000000">
      <w:pPr>
        <w:ind w:left="5670"/>
      </w:pPr>
      <w:r>
        <w:t>2 priedas</w:t>
      </w:r>
    </w:p>
    <w:p w14:paraId="40E6FBD6" w14:textId="77777777" w:rsidR="00EF3F7E" w:rsidRDefault="00EF3F7E">
      <w:pPr>
        <w:rPr>
          <w:u w:val="single"/>
        </w:rPr>
      </w:pPr>
    </w:p>
    <w:p w14:paraId="78581808" w14:textId="77777777" w:rsidR="00EF3F7E" w:rsidRDefault="00EF3F7E">
      <w:pPr>
        <w:jc w:val="center"/>
        <w:rPr>
          <w:b/>
        </w:rPr>
      </w:pPr>
    </w:p>
    <w:p w14:paraId="669EDC32" w14:textId="77777777" w:rsidR="00EF3F7E" w:rsidRDefault="00000000">
      <w:pPr>
        <w:jc w:val="center"/>
        <w:rPr>
          <w:b/>
        </w:rPr>
      </w:pPr>
      <w:r>
        <w:rPr>
          <w:b/>
        </w:rPr>
        <w:t xml:space="preserve">ŽELDINIŲ BŪKLĖS VERTINIMAS </w:t>
      </w:r>
    </w:p>
    <w:p w14:paraId="77725C94" w14:textId="77777777" w:rsidR="00EF3F7E" w:rsidRDefault="00EF3F7E">
      <w:pPr>
        <w:rPr>
          <w:u w:val="single"/>
        </w:rPr>
      </w:pPr>
    </w:p>
    <w:p w14:paraId="7956819D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 Želdinių būklė vertinama apibendrinant kelis rodiklius: genėjimo intensyvumo laipsnį, defoliacijos laipsnį, ligų intensyvumą, kenkėjų gausumą ir želdinio pažeidimo laipsnį, medžio kamieno (žievės) mechaninio pažeidimo intensyvumą.</w:t>
      </w:r>
    </w:p>
    <w:p w14:paraId="06B75AF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2. Būklės vertinimui naudojama 5 balų skalė: 1– gera, 2– patenkinama, 3 – nepatenkinama, 4 – bloga, 5 – žuvęs želdinys. </w:t>
      </w:r>
    </w:p>
    <w:p w14:paraId="4328D9F2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3. Želdinių būklė vertinama vizualiai, želdinius lyginant su tokios pat rūšies sveikais želdiniais. </w:t>
      </w:r>
      <w:r>
        <w:rPr>
          <w:bCs/>
        </w:rPr>
        <w:t>Jei vertinamo želdinio būklę vertinimo metu veikia keli veiksniai</w:t>
      </w:r>
      <w:r>
        <w:t>, tokiu atveju remiamasi blogiausios būklės balu pagal bet kurį iš paminėtų kriterijų.</w:t>
      </w:r>
    </w:p>
    <w:p w14:paraId="113DDF3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4. Želdinys žuvusiu pripažįstamas, kai sužalojimai pažeidžia želdinio gyvybines funkcijas ir taikant tvarkymo priemones neįmanoma atkurti jo gyvybingumo. Tokie želdiniai žymimi kaip žuvę ir jų būklė pagal kitus rodiklius nevertinama.</w:t>
      </w:r>
    </w:p>
    <w:p w14:paraId="0DA8698B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5. Želdinių būklės vertinimas pagal genėjimo intensyvumo laipsnį:</w:t>
      </w:r>
    </w:p>
    <w:p w14:paraId="10E5ADF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5.1. 1</w:t>
      </w:r>
      <w:r>
        <w:rPr>
          <w:lang w:eastAsia="lt-LT"/>
        </w:rPr>
        <w:t xml:space="preserve"> (gera) – laja negenėta arba nupjauta iki 1/5 lajos viršūnės (nepažeidžiant centrinio kamieno) ir šoninių šakų, lapija (spygliai) tanki, vienodai išsidėsčiusi, nenupjautos iš kamieno išaugusios pagrindinės šakos, krūmai normaliai išsivystę, sveiki, lapija tanki per visą augalo aukštį;</w:t>
      </w:r>
    </w:p>
    <w:p w14:paraId="564EFC72" w14:textId="77777777" w:rsidR="00EF3F7E" w:rsidRDefault="00000000">
      <w:pPr>
        <w:suppressAutoHyphens/>
        <w:ind w:firstLine="567"/>
        <w:jc w:val="both"/>
        <w:rPr>
          <w:color w:val="000000"/>
          <w:lang w:eastAsia="lt-LT"/>
        </w:rPr>
      </w:pPr>
      <w:r>
        <w:rPr>
          <w:bCs/>
          <w:lang w:eastAsia="lt-LT"/>
        </w:rPr>
        <w:t>5.2. 2 (patenkinama)</w:t>
      </w:r>
      <w:r>
        <w:rPr>
          <w:lang w:eastAsia="lt-LT"/>
        </w:rPr>
        <w:t xml:space="preserve"> – nugenėta 1/2–2/3 medžio lajos, išpjauta dalis iš kamieno išaugusių pa</w:t>
      </w:r>
      <w:r>
        <w:rPr>
          <w:color w:val="000000"/>
          <w:lang w:eastAsia="lt-LT"/>
        </w:rPr>
        <w:t>grindinių šakų;</w:t>
      </w:r>
    </w:p>
    <w:p w14:paraId="2F3791F5" w14:textId="77777777" w:rsidR="00EF3F7E" w:rsidRDefault="00000000">
      <w:pPr>
        <w:suppressAutoHyphens/>
        <w:ind w:firstLine="567"/>
        <w:jc w:val="both"/>
        <w:rPr>
          <w:color w:val="000000"/>
          <w:sz w:val="20"/>
          <w:lang w:eastAsia="en-GB"/>
        </w:rPr>
      </w:pPr>
      <w:r>
        <w:rPr>
          <w:bCs/>
          <w:color w:val="000000"/>
          <w:lang w:eastAsia="lt-LT"/>
        </w:rPr>
        <w:t>5.3. 3 (nepatenkinama)</w:t>
      </w:r>
      <w:r>
        <w:rPr>
          <w:color w:val="000000"/>
          <w:lang w:eastAsia="lt-LT"/>
        </w:rPr>
        <w:t xml:space="preserve"> – </w:t>
      </w:r>
      <w:r>
        <w:rPr>
          <w:color w:val="000000"/>
          <w:szCs w:val="24"/>
          <w:lang w:eastAsia="en-GB"/>
        </w:rPr>
        <w:t>likę mažiau nei 1/3 medžio</w:t>
      </w:r>
      <w:r>
        <w:rPr>
          <w:color w:val="000000"/>
          <w:sz w:val="20"/>
          <w:lang w:eastAsia="en-GB"/>
        </w:rPr>
        <w:t xml:space="preserve"> </w:t>
      </w:r>
      <w:r>
        <w:rPr>
          <w:color w:val="000000"/>
          <w:lang w:eastAsia="lt-LT"/>
        </w:rPr>
        <w:t>lajos;</w:t>
      </w:r>
    </w:p>
    <w:p w14:paraId="01E7371A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5.4. 4 (bloga) – nupjauta visa laja, paliktas tik kamienas (išskyrus spygliuočius medžius, kurie tokiu atveju dėl gyvybinių funkcijų pažeidimo pripažįstami žuvusiais).</w:t>
      </w:r>
    </w:p>
    <w:p w14:paraId="1E39A4C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6. Želdinių būklės vertinimas pagal defoliacijos laipsnį (be želdinių defoliacijos teršalų poveikyje gali vykti asimiliacijos aparato dechromacija (spyglių ar lapų natūralios spalvos pokyčiai – pageltimas, parudavimas). Ji vertinama analogiškai lajų defoliacijai):</w:t>
      </w:r>
    </w:p>
    <w:p w14:paraId="24735950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6.1. 1</w:t>
      </w:r>
      <w:r>
        <w:rPr>
          <w:lang w:eastAsia="lt-LT"/>
        </w:rPr>
        <w:t xml:space="preserve"> (gera) – sąlyginai sveikas ar silpnai pažeistas (defoliacija 0–25 proc.) želdinys, lapų dydis ir spalva būdinga želdinio rūšiai;</w:t>
      </w:r>
    </w:p>
    <w:p w14:paraId="78361592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6.2. 2 (patenkinama)</w:t>
      </w:r>
      <w:r>
        <w:rPr>
          <w:lang w:eastAsia="lt-LT"/>
        </w:rPr>
        <w:t xml:space="preserve"> – vidutiniškai pažeistas želdinys (defoliacija 26–50 proc.), želdiniai sveiki, bet augimas sulėtėjęs, yra džiūstančių ūglių ir šakų, silpnesnis sulapojimas, forma neretai asimetriška;</w:t>
      </w:r>
    </w:p>
    <w:p w14:paraId="4DE67521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6.3. 3</w:t>
      </w:r>
      <w:r>
        <w:rPr>
          <w:lang w:eastAsia="lt-LT"/>
        </w:rPr>
        <w:t xml:space="preserve"> (nepatenkinama) – defoliacija yra paveikusi 51-75 proc. želdinio, lapija reta, lapai smulkūs, yra išdžiūvusių šakų;</w:t>
      </w:r>
    </w:p>
    <w:p w14:paraId="1D284CD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6.4. 4 (bloga) – stipriai pažeistas želdinys (defoliacija &gt; 75 proc.).</w:t>
      </w:r>
    </w:p>
    <w:p w14:paraId="2E1832B0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 Želdinių būklės vertinimas pagal ligų intensyvumą, kenkėjų gausumą ir pažeidimo laipsnį:</w:t>
      </w:r>
    </w:p>
    <w:p w14:paraId="715D635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7.1. 1</w:t>
      </w:r>
      <w:r>
        <w:rPr>
          <w:lang w:eastAsia="lt-LT"/>
        </w:rPr>
        <w:t xml:space="preserve"> (gera) – nepakenkti arba silpnai pakenkti kenkėjų ir ligų (lapai ar spygliai sveiki arba ligų ar kenkėjų pakenkta &lt; 1/4 jų kiekio);</w:t>
      </w:r>
    </w:p>
    <w:p w14:paraId="26B85BBE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7.2. 2 (patenkinama)</w:t>
      </w:r>
      <w:r>
        <w:rPr>
          <w:lang w:eastAsia="lt-LT"/>
        </w:rPr>
        <w:t xml:space="preserve"> – vidutinis pakenkimas (ligų ar kenkėjų pakenkta nuo 1/4 iki 1/2 lapų ar spyglių); </w:t>
      </w:r>
    </w:p>
    <w:p w14:paraId="09A453C8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bCs/>
          <w:lang w:eastAsia="lt-LT"/>
        </w:rPr>
        <w:t>7.3. 3</w:t>
      </w:r>
      <w:r>
        <w:rPr>
          <w:lang w:eastAsia="lt-LT"/>
        </w:rPr>
        <w:t xml:space="preserve"> (nepatenkinama) – ligų ar kenkėjų pažeista 1/2 – 2/3 lapų ar spyglių, želdiniai nusilpę, silpnai sulapoję, lapija reta, lapai smulkūs, yra išdžiūvusių šakų.</w:t>
      </w:r>
    </w:p>
    <w:p w14:paraId="002EC546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7.4. 4 (bloga) – kenkėjai ar ligos yra pažeidusios &gt; 2/3 želdinio lapų ar spyglių, kamienas intensyviai ardomas  medieną pūdančių grybų.</w:t>
      </w:r>
    </w:p>
    <w:p w14:paraId="1D52C8F3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8. Želdinio kamieno (žievės) mechaninio pažeidimo intensyvumas (eglė ir uosis yra ypač jautrūs žievės (kamieno) mechaniniams pažeidimams, todėl 1 balu vertinami tik sveiki </w:t>
      </w:r>
      <w:r>
        <w:rPr>
          <w:lang w:eastAsia="lt-LT"/>
        </w:rPr>
        <w:lastRenderedPageBreak/>
        <w:t>(nepažeisti) medžiai, o esant bent vienai platesnei negu 3 cm žaizdai jie vertinami kaip blogos būklės):</w:t>
      </w:r>
    </w:p>
    <w:p w14:paraId="0BF3E6CD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8.1. 1 (gera) – sveiki ar silpnai pažeisti tik nedidelis žievės plotelis (&lt; 30 cm</w:t>
      </w:r>
      <w:r>
        <w:rPr>
          <w:vertAlign w:val="superscript"/>
          <w:lang w:eastAsia="lt-LT"/>
        </w:rPr>
        <w:t>2</w:t>
      </w:r>
      <w:r>
        <w:rPr>
          <w:lang w:eastAsia="lt-LT"/>
        </w:rPr>
        <w:t>));</w:t>
      </w:r>
    </w:p>
    <w:p w14:paraId="26EA0424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8.2. 2 (patenkinama) – yra viena ar kelios kelių metų senumo žaizdos (30-49 cm</w:t>
      </w:r>
      <w:r>
        <w:rPr>
          <w:vertAlign w:val="superscript"/>
          <w:lang w:eastAsia="lt-LT"/>
        </w:rPr>
        <w:t>2</w:t>
      </w:r>
      <w:r>
        <w:rPr>
          <w:lang w:eastAsia="lt-LT"/>
        </w:rPr>
        <w:t>), pažeistas 50–300 cm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 žievės plotas, kuris užsikrėtęs medieną pūdančiais grybais);</w:t>
      </w:r>
    </w:p>
    <w:p w14:paraId="7AAD9F5C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8.3. 3 (nepatenkinama)– yra viena ar kelios kelių metų senumo žaizdos, pažeistas didelis žievės plotas (&gt; 300 cm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), lūžęs kamienas ir (ar) atskiros šakos; </w:t>
      </w:r>
    </w:p>
    <w:p w14:paraId="71C774CB" w14:textId="77777777" w:rsidR="00EF3F7E" w:rsidRDefault="00000000">
      <w:pPr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 xml:space="preserve">8.4. 4 (bloga) – kamienas išpuvusiu viduriu </w:t>
      </w:r>
      <w:r>
        <w:rPr>
          <w:color w:val="000000"/>
          <w:lang w:eastAsia="lt-LT"/>
        </w:rPr>
        <w:t>(išpuvę 1/3</w:t>
      </w:r>
      <w:r>
        <w:rPr>
          <w:lang w:eastAsia="lt-LT"/>
        </w:rPr>
        <w:t xml:space="preserve">–2/3 </w:t>
      </w:r>
      <w:r>
        <w:rPr>
          <w:color w:val="000000"/>
          <w:lang w:eastAsia="lt-LT"/>
        </w:rPr>
        <w:t xml:space="preserve">kamieno). </w:t>
      </w:r>
    </w:p>
    <w:p w14:paraId="0BD89100" w14:textId="77777777" w:rsidR="00EF3F7E" w:rsidRDefault="00EF3F7E">
      <w:pPr>
        <w:suppressAutoHyphens/>
        <w:jc w:val="both"/>
        <w:rPr>
          <w:lang w:eastAsia="lt-LT"/>
        </w:rPr>
      </w:pPr>
    </w:p>
    <w:p w14:paraId="0E3F6D38" w14:textId="77777777" w:rsidR="00EF3F7E" w:rsidRDefault="00000000">
      <w:pPr>
        <w:suppressAutoHyphens/>
        <w:jc w:val="center"/>
      </w:pPr>
      <w:r>
        <w:rPr>
          <w:lang w:eastAsia="lt-LT"/>
        </w:rPr>
        <w:t>__________________</w:t>
      </w:r>
    </w:p>
    <w:p w14:paraId="324DA402" w14:textId="77777777" w:rsidR="00EF3F7E" w:rsidRDefault="00EF3F7E">
      <w:pPr>
        <w:jc w:val="both"/>
        <w:rPr>
          <w:b/>
          <w:sz w:val="20"/>
        </w:rPr>
      </w:pPr>
    </w:p>
    <w:p w14:paraId="6799B013" w14:textId="77777777" w:rsidR="00EF3F7E" w:rsidRDefault="00EF3F7E">
      <w:pPr>
        <w:jc w:val="both"/>
        <w:rPr>
          <w:b/>
          <w:sz w:val="20"/>
        </w:rPr>
      </w:pPr>
    </w:p>
    <w:p w14:paraId="0E04B075" w14:textId="77777777" w:rsidR="00EF3F7E" w:rsidRDefault="00000000">
      <w:pPr>
        <w:jc w:val="both"/>
        <w:rPr>
          <w:b/>
        </w:rPr>
      </w:pPr>
      <w:r>
        <w:rPr>
          <w:b/>
          <w:sz w:val="20"/>
        </w:rPr>
        <w:t>Pakeitimai:</w:t>
      </w:r>
    </w:p>
    <w:p w14:paraId="64F22D07" w14:textId="77777777" w:rsidR="00EF3F7E" w:rsidRDefault="00EF3F7E">
      <w:pPr>
        <w:jc w:val="both"/>
        <w:rPr>
          <w:sz w:val="20"/>
        </w:rPr>
      </w:pPr>
    </w:p>
    <w:p w14:paraId="39B64C0C" w14:textId="77777777" w:rsidR="00EF3F7E" w:rsidRDefault="00000000">
      <w:pPr>
        <w:jc w:val="both"/>
      </w:pPr>
      <w:r>
        <w:rPr>
          <w:sz w:val="20"/>
        </w:rPr>
        <w:t>1.</w:t>
      </w:r>
    </w:p>
    <w:p w14:paraId="21902E6B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33519258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1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D1-665</w:t>
        </w:r>
      </w:hyperlink>
      <w:r>
        <w:rPr>
          <w:rFonts w:eastAsia="MS Mincho"/>
          <w:iCs/>
          <w:sz w:val="20"/>
        </w:rPr>
        <w:t>, 2010-07-29, Žin., 2010, Nr. 93-4914 (2010-08-05), i. k. 110301MISAK00D1-665</w:t>
      </w:r>
    </w:p>
    <w:p w14:paraId="5B67FAC8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"Dėl Želdinių atkuriamosios vertės įkainių patvirtinimo" pakeitimo</w:t>
      </w:r>
    </w:p>
    <w:p w14:paraId="3F0CA911" w14:textId="77777777" w:rsidR="00EF3F7E" w:rsidRDefault="00EF3F7E">
      <w:pPr>
        <w:jc w:val="both"/>
        <w:rPr>
          <w:sz w:val="20"/>
        </w:rPr>
      </w:pPr>
    </w:p>
    <w:p w14:paraId="63BEC5EB" w14:textId="77777777" w:rsidR="00EF3F7E" w:rsidRDefault="00000000">
      <w:pPr>
        <w:jc w:val="both"/>
      </w:pPr>
      <w:r>
        <w:rPr>
          <w:sz w:val="20"/>
        </w:rPr>
        <w:t>2.</w:t>
      </w:r>
    </w:p>
    <w:p w14:paraId="28BBB2EC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43CBC673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1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D1-333</w:t>
        </w:r>
      </w:hyperlink>
      <w:r>
        <w:rPr>
          <w:rFonts w:eastAsia="MS Mincho"/>
          <w:iCs/>
          <w:sz w:val="20"/>
        </w:rPr>
        <w:t>, 2012-04-20, Žin., 2012, Nr. 49-2414 (2012-04-26), i. k. 112301MISAK00D1-333</w:t>
      </w:r>
    </w:p>
    <w:p w14:paraId="7B8904E3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"Dėl Želdinių atkuriamosios vertės įkainių patvirtinimo" pakeitimo</w:t>
      </w:r>
    </w:p>
    <w:p w14:paraId="528D73DF" w14:textId="77777777" w:rsidR="00EF3F7E" w:rsidRDefault="00EF3F7E">
      <w:pPr>
        <w:jc w:val="both"/>
        <w:rPr>
          <w:sz w:val="20"/>
        </w:rPr>
      </w:pPr>
    </w:p>
    <w:p w14:paraId="17A31226" w14:textId="77777777" w:rsidR="00EF3F7E" w:rsidRDefault="00000000">
      <w:pPr>
        <w:jc w:val="both"/>
      </w:pPr>
      <w:r>
        <w:rPr>
          <w:sz w:val="20"/>
        </w:rPr>
        <w:t>3.</w:t>
      </w:r>
    </w:p>
    <w:p w14:paraId="65FBF100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0D598BDB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1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D1-921</w:t>
        </w:r>
      </w:hyperlink>
      <w:r>
        <w:rPr>
          <w:rFonts w:eastAsia="MS Mincho"/>
          <w:iCs/>
          <w:sz w:val="20"/>
        </w:rPr>
        <w:t>, 2014-11-21, paskelbta TAR 2014-11-28, i. k. 2014-18153</w:t>
      </w:r>
    </w:p>
    <w:p w14:paraId="3F5717E4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„Dėl želdinių atkuriamosios vertės įkainių patvirtinimo“ pakeitimo</w:t>
      </w:r>
    </w:p>
    <w:p w14:paraId="0B3C5CAC" w14:textId="77777777" w:rsidR="00EF3F7E" w:rsidRDefault="00EF3F7E">
      <w:pPr>
        <w:jc w:val="both"/>
        <w:rPr>
          <w:sz w:val="20"/>
        </w:rPr>
      </w:pPr>
    </w:p>
    <w:p w14:paraId="25BBF9F8" w14:textId="77777777" w:rsidR="00EF3F7E" w:rsidRDefault="00000000">
      <w:pPr>
        <w:jc w:val="both"/>
      </w:pPr>
      <w:r>
        <w:rPr>
          <w:sz w:val="20"/>
        </w:rPr>
        <w:t>4.</w:t>
      </w:r>
    </w:p>
    <w:p w14:paraId="37715D83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131D29D5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1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D1-52</w:t>
        </w:r>
      </w:hyperlink>
      <w:r>
        <w:rPr>
          <w:rFonts w:eastAsia="MS Mincho"/>
          <w:iCs/>
          <w:sz w:val="20"/>
        </w:rPr>
        <w:t>, 2016-01-27, paskelbta TAR 2016-02-01, i. k. 2016-02009</w:t>
      </w:r>
    </w:p>
    <w:p w14:paraId="60DA8F8B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„Dėl Želdinių atkuriamosios vertės įkainių patvirtinimo“ pakeitimo</w:t>
      </w:r>
    </w:p>
    <w:p w14:paraId="3BC1A60E" w14:textId="77777777" w:rsidR="00EF3F7E" w:rsidRDefault="00EF3F7E">
      <w:pPr>
        <w:jc w:val="both"/>
        <w:rPr>
          <w:sz w:val="20"/>
        </w:rPr>
      </w:pPr>
    </w:p>
    <w:p w14:paraId="0F0C49C5" w14:textId="77777777" w:rsidR="00EF3F7E" w:rsidRDefault="00000000">
      <w:pPr>
        <w:jc w:val="both"/>
      </w:pPr>
      <w:r>
        <w:rPr>
          <w:sz w:val="20"/>
        </w:rPr>
        <w:t>5.</w:t>
      </w:r>
    </w:p>
    <w:p w14:paraId="6576C682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18AA4F0F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20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D1-183</w:t>
        </w:r>
      </w:hyperlink>
      <w:r>
        <w:rPr>
          <w:rFonts w:eastAsia="MS Mincho"/>
          <w:iCs/>
          <w:sz w:val="20"/>
        </w:rPr>
        <w:t>, 2020-04-01, paskelbta TAR 2020-04-02, i. k. 2020-06839</w:t>
      </w:r>
    </w:p>
    <w:p w14:paraId="58A7A028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„Dėl Želdinių atkuriamosios vertės įkainių patvirtinimo“ pakeitimo</w:t>
      </w:r>
    </w:p>
    <w:p w14:paraId="31B7F0BB" w14:textId="77777777" w:rsidR="00EF3F7E" w:rsidRDefault="00EF3F7E">
      <w:pPr>
        <w:jc w:val="both"/>
        <w:rPr>
          <w:sz w:val="20"/>
        </w:rPr>
      </w:pPr>
    </w:p>
    <w:p w14:paraId="789AF35F" w14:textId="77777777" w:rsidR="00EF3F7E" w:rsidRDefault="00000000">
      <w:pPr>
        <w:jc w:val="both"/>
      </w:pPr>
      <w:r>
        <w:rPr>
          <w:sz w:val="20"/>
        </w:rPr>
        <w:t>6.</w:t>
      </w:r>
    </w:p>
    <w:p w14:paraId="6B77819D" w14:textId="77777777" w:rsidR="00EF3F7E" w:rsidRDefault="00000000">
      <w:pPr>
        <w:jc w:val="both"/>
      </w:pPr>
      <w:r>
        <w:rPr>
          <w:sz w:val="20"/>
        </w:rPr>
        <w:t>Lietuvos Respublikos aplinkos ministerija, Įsakymas</w:t>
      </w:r>
    </w:p>
    <w:p w14:paraId="62B458D9" w14:textId="77777777" w:rsidR="00EF3F7E" w:rsidRDefault="00000000">
      <w:pPr>
        <w:jc w:val="both"/>
      </w:pPr>
      <w:r>
        <w:rPr>
          <w:sz w:val="20"/>
        </w:rPr>
        <w:t xml:space="preserve">Nr. </w:t>
      </w:r>
      <w:hyperlink r:id="rId21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D1-289</w:t>
        </w:r>
      </w:hyperlink>
      <w:r>
        <w:rPr>
          <w:rFonts w:eastAsia="MS Mincho"/>
          <w:iCs/>
          <w:sz w:val="20"/>
        </w:rPr>
        <w:t>, 2023-08-23, paskelbta TAR 2023-08-23, i. k. 2023-16521</w:t>
      </w:r>
    </w:p>
    <w:p w14:paraId="3BC15D91" w14:textId="77777777" w:rsidR="00EF3F7E" w:rsidRDefault="00000000">
      <w:pPr>
        <w:jc w:val="both"/>
      </w:pPr>
      <w:r>
        <w:rPr>
          <w:sz w:val="20"/>
        </w:rPr>
        <w:t>Dėl Lietuvos Respublikos aplinkos ministro 2008 m. birželio 26 d. įsakymo Nr. D1-343 „Dėl Želdinių atkuriamosios vertės įkainių patvirtinimo“ pakeitimo</w:t>
      </w:r>
    </w:p>
    <w:p w14:paraId="042F4A43" w14:textId="77777777" w:rsidR="00EF3F7E" w:rsidRDefault="00EF3F7E">
      <w:pPr>
        <w:jc w:val="both"/>
        <w:rPr>
          <w:sz w:val="20"/>
        </w:rPr>
      </w:pPr>
    </w:p>
    <w:p w14:paraId="2540A3DD" w14:textId="77777777" w:rsidR="00EF3F7E" w:rsidRDefault="00EF3F7E">
      <w:pPr>
        <w:widowControl w:val="0"/>
        <w:rPr>
          <w:snapToGrid w:val="0"/>
        </w:rPr>
      </w:pPr>
    </w:p>
    <w:sectPr w:rsidR="00EF3F7E">
      <w:pgSz w:w="11907" w:h="16840" w:code="9"/>
      <w:pgMar w:top="1134" w:right="1134" w:bottom="1134" w:left="1701" w:header="567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07C1" w14:textId="77777777" w:rsidR="009C5871" w:rsidRDefault="009C5871">
      <w:r>
        <w:separator/>
      </w:r>
    </w:p>
  </w:endnote>
  <w:endnote w:type="continuationSeparator" w:id="0">
    <w:p w14:paraId="4B379FD6" w14:textId="77777777" w:rsidR="009C5871" w:rsidRDefault="009C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A160" w14:textId="77777777" w:rsidR="00EF3F7E" w:rsidRDefault="00EF3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0235" w14:textId="77777777" w:rsidR="00EF3F7E" w:rsidRDefault="00EF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842B" w14:textId="77777777" w:rsidR="00EF3F7E" w:rsidRDefault="00EF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44B3" w14:textId="77777777" w:rsidR="009C5871" w:rsidRDefault="009C5871">
      <w:r>
        <w:separator/>
      </w:r>
    </w:p>
  </w:footnote>
  <w:footnote w:type="continuationSeparator" w:id="0">
    <w:p w14:paraId="6641A45C" w14:textId="77777777" w:rsidR="009C5871" w:rsidRDefault="009C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824E" w14:textId="77777777" w:rsidR="00EF3F7E" w:rsidRDefault="0000000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7B0CA12E" w14:textId="77777777" w:rsidR="00EF3F7E" w:rsidRDefault="00EF3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A257" w14:textId="77777777" w:rsidR="00EF3F7E" w:rsidRDefault="0000000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93C9A7" w14:textId="77777777" w:rsidR="00EF3F7E" w:rsidRDefault="00EF3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DEBC" w14:textId="77777777" w:rsidR="00EF3F7E" w:rsidRDefault="00EF3F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F37" w14:textId="77777777" w:rsidR="00EF3F7E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38"/>
    <w:rsid w:val="002E65FF"/>
    <w:rsid w:val="009C5871"/>
    <w:rsid w:val="00AA734C"/>
    <w:rsid w:val="00B66B38"/>
    <w:rsid w:val="00E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6F45"/>
  <w15:docId w15:val="{F5D2B468-62DE-4AF3-9B32-B8C5066A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https://www.e-tar.lt/portal/legalAct.html?documentId=d1b2c6a076da11e497109185583762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egalAct.html?documentId=edcc7680419011ee9de9e7e0fd363afc" TargetMode="External"/><Relationship Id="rId7" Type="http://schemas.openxmlformats.org/officeDocument/2006/relationships/hyperlink" Target="https://www.e-tar.lt/portal/legalAct.html?documentId=edcc7680419011ee9de9e7e0fd363afc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e-tar.lt/portal/legalAct.html?documentId=TAR.0482D5B01C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TAR.A30CB5D6AAEB" TargetMode="External"/><Relationship Id="rId20" Type="http://schemas.openxmlformats.org/officeDocument/2006/relationships/hyperlink" Target="https://www.e-tar.lt/portal/legalAct.html?documentId=516e58f074aa11eabee4a336e7e6fda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9E1C4FF61B0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e-tar.lt/portal/legalAct.html?documentId=e36eca70c8db11e583a295d9366c7ab3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1857</Words>
  <Characters>10586</Characters>
  <Application>Microsoft Office Word</Application>
  <DocSecurity>0</DocSecurity>
  <Lines>88</Lines>
  <Paragraphs>24</Paragraphs>
  <ScaleCrop>false</ScaleCrop>
  <Company/>
  <LinksUpToDate>false</LinksUpToDate>
  <CharactersWithSpaces>12419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Inga Zukauskiene</cp:lastModifiedBy>
  <cp:revision>2</cp:revision>
  <dcterms:created xsi:type="dcterms:W3CDTF">2026-01-08T11:22:00Z</dcterms:created>
  <dcterms:modified xsi:type="dcterms:W3CDTF">2026-01-08T11:22:00Z</dcterms:modified>
</cp:coreProperties>
</file>