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62977130"/>
        <w:docPartObj>
          <w:docPartGallery w:val="Page Numbers (Top of Page)"/>
          <w:docPartUnique/>
        </w:docPartObj>
      </w:sdtPr>
      <w:sdtEndPr/>
      <w:sdtContent>
        <w:p w14:paraId="6AC385BD" w14:textId="77777777" w:rsidR="001137AF" w:rsidRPr="001137AF" w:rsidRDefault="001137AF" w:rsidP="001137AF">
          <w:pPr>
            <w:widowControl w:val="0"/>
            <w:tabs>
              <w:tab w:val="right" w:pos="10773"/>
            </w:tabs>
            <w:autoSpaceDE w:val="0"/>
            <w:autoSpaceDN w:val="0"/>
            <w:adjustRightInd w:val="0"/>
            <w:ind w:firstLine="709"/>
            <w:jc w:val="right"/>
            <w:rPr>
              <w:rFonts w:ascii="Times New Roman" w:hAnsi="Times New Roman" w:cs="Times New Roman"/>
              <w:sz w:val="24"/>
            </w:rPr>
          </w:pPr>
          <w:r w:rsidRPr="001137AF">
            <w:rPr>
              <w:rFonts w:ascii="Times New Roman" w:hAnsi="Times New Roman" w:cs="Times New Roman"/>
              <w:b/>
              <w:bCs/>
              <w:sz w:val="24"/>
            </w:rPr>
            <w:t>Priedas Nr. 1</w:t>
          </w:r>
        </w:p>
        <w:p w14:paraId="3C0AC9D6" w14:textId="77777777" w:rsidR="001137AF" w:rsidRDefault="00194FE5" w:rsidP="001137AF">
          <w:pPr>
            <w:pStyle w:val="Header"/>
            <w:jc w:val="right"/>
          </w:pPr>
        </w:p>
      </w:sdtContent>
    </w:sdt>
    <w:p w14:paraId="0FFA8B90" w14:textId="3BDA2D5B" w:rsidR="001137AF" w:rsidRPr="001137AF" w:rsidRDefault="001137AF" w:rsidP="001137AF">
      <w:pPr>
        <w:pStyle w:val="ListParagraph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12x76 MM KALIBRO ŠAUDMENS (ANTIDRONINIS ŠAUDMUO 3,5 MM) </w:t>
      </w:r>
      <w:r w:rsidRPr="001137AF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15D50711" w14:textId="77777777" w:rsidR="001137AF" w:rsidRDefault="001137AF" w:rsidP="001250C9">
      <w:pPr>
        <w:tabs>
          <w:tab w:val="left" w:pos="5812"/>
          <w:tab w:val="left" w:pos="6096"/>
        </w:tabs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  <w:bookmarkStart w:id="0" w:name="_GoBack"/>
      <w:bookmarkEnd w:id="0"/>
    </w:p>
    <w:p w14:paraId="6B76F09F" w14:textId="7B12A872" w:rsidR="00C82BE3" w:rsidRDefault="00E72564" w:rsidP="001250C9">
      <w:pPr>
        <w:tabs>
          <w:tab w:val="left" w:pos="5812"/>
          <w:tab w:val="left" w:pos="6096"/>
        </w:tabs>
        <w:spacing w:after="0" w:line="240" w:lineRule="auto"/>
        <w:ind w:right="458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 xml:space="preserve">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28"/>
      </w:tblGrid>
      <w:tr w:rsidR="003E529B" w14:paraId="21B5D475" w14:textId="77777777" w:rsidTr="007F2C51">
        <w:tc>
          <w:tcPr>
            <w:tcW w:w="4810" w:type="dxa"/>
          </w:tcPr>
          <w:p w14:paraId="21B5D473" w14:textId="1023618E" w:rsidR="000C2590" w:rsidRPr="002970EF" w:rsidRDefault="000C2590" w:rsidP="002970EF">
            <w:pPr>
              <w:spacing w:line="276" w:lineRule="auto"/>
              <w:ind w:left="-11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1. </w:t>
            </w:r>
            <w:r w:rsidR="003E529B" w:rsidRPr="000C25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Required equipment</w:t>
            </w:r>
          </w:p>
        </w:tc>
        <w:tc>
          <w:tcPr>
            <w:tcW w:w="4828" w:type="dxa"/>
          </w:tcPr>
          <w:p w14:paraId="21B5D474" w14:textId="58398CEB" w:rsidR="003E529B" w:rsidRPr="000C2590" w:rsidRDefault="003E529B" w:rsidP="000C2590">
            <w:pPr>
              <w:ind w:right="459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25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Reikalinga įranga</w:t>
            </w:r>
          </w:p>
        </w:tc>
      </w:tr>
      <w:tr w:rsidR="003E529B" w14:paraId="21B5D478" w14:textId="77777777" w:rsidTr="007F2C51">
        <w:tc>
          <w:tcPr>
            <w:tcW w:w="4810" w:type="dxa"/>
          </w:tcPr>
          <w:p w14:paraId="21B5D476" w14:textId="54CFD015" w:rsidR="003E529B" w:rsidRPr="00031127" w:rsidRDefault="003C5F77" w:rsidP="00CD516A">
            <w:pPr>
              <w:tabs>
                <w:tab w:val="left" w:pos="3402"/>
              </w:tabs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1.1. </w:t>
            </w:r>
            <w:r w:rsidR="004B6F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F1F63"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  <w:r w:rsidR="005F1F63" w:rsidRPr="005F1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A6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5F1F63" w:rsidRPr="005F1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99D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="0024799D" w:rsidRPr="005F1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F63" w:rsidRPr="005F1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127" w:rsidRPr="003E5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Cartridge</w:t>
            </w:r>
          </w:p>
        </w:tc>
        <w:tc>
          <w:tcPr>
            <w:tcW w:w="4828" w:type="dxa"/>
          </w:tcPr>
          <w:p w14:paraId="21B5D477" w14:textId="1128901A" w:rsidR="003E529B" w:rsidRDefault="003C5F77" w:rsidP="004B6F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="006841BC">
              <w:rPr>
                <w:rFonts w:ascii="Times New Roman" w:hAnsi="Times New Roman" w:cs="Times New Roman"/>
                <w:sz w:val="24"/>
                <w:szCs w:val="24"/>
              </w:rPr>
              <w:t>12 x 76</w:t>
            </w:r>
            <w:r w:rsidR="004B6FBC" w:rsidRPr="004B6FBC">
              <w:rPr>
                <w:rFonts w:ascii="Times New Roman" w:hAnsi="Times New Roman" w:cs="Times New Roman"/>
                <w:sz w:val="24"/>
                <w:szCs w:val="24"/>
              </w:rPr>
              <w:t xml:space="preserve"> mm  </w:t>
            </w:r>
            <w:r w:rsidR="00E9176F">
              <w:rPr>
                <w:rFonts w:ascii="Times New Roman" w:hAnsi="Times New Roman" w:cs="Times New Roman"/>
                <w:sz w:val="24"/>
                <w:szCs w:val="24"/>
              </w:rPr>
              <w:t xml:space="preserve">kalibro </w:t>
            </w:r>
            <w:r w:rsidR="00940258">
              <w:rPr>
                <w:rFonts w:ascii="Times New Roman" w:hAnsi="Times New Roman" w:cs="Times New Roman"/>
                <w:sz w:val="24"/>
                <w:szCs w:val="24"/>
              </w:rPr>
              <w:t>šaudmuo</w:t>
            </w:r>
          </w:p>
        </w:tc>
      </w:tr>
      <w:tr w:rsidR="00741816" w:rsidRPr="007F2C51" w14:paraId="21B5D47B" w14:textId="77777777" w:rsidTr="007F2C51">
        <w:tc>
          <w:tcPr>
            <w:tcW w:w="4810" w:type="dxa"/>
            <w:vAlign w:val="bottom"/>
          </w:tcPr>
          <w:p w14:paraId="21B5D479" w14:textId="32DFE7E4" w:rsidR="00741816" w:rsidRDefault="004F34A9" w:rsidP="003F075B">
            <w:pPr>
              <w:tabs>
                <w:tab w:val="left" w:pos="3402"/>
              </w:tabs>
              <w:ind w:left="-112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Note</w:t>
            </w:r>
            <w:r w:rsidR="00132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  <w:r w:rsidR="0074181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74181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 case of differences in interpretation the English text shall prevail.</w:t>
            </w:r>
          </w:p>
        </w:tc>
        <w:tc>
          <w:tcPr>
            <w:tcW w:w="4828" w:type="dxa"/>
            <w:vAlign w:val="center"/>
          </w:tcPr>
          <w:p w14:paraId="21B5D47A" w14:textId="0D894C0A" w:rsidR="00741816" w:rsidRDefault="001321B7" w:rsidP="00D162C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Pastaba</w:t>
            </w:r>
            <w:r w:rsidR="00394335" w:rsidRPr="00831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394335" w:rsidRPr="00831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34A9">
              <w:rPr>
                <w:rFonts w:ascii="Times New Roman" w:eastAsia="Times New Roman" w:hAnsi="Times New Roman" w:cs="Times New Roman"/>
                <w:sz w:val="24"/>
                <w:szCs w:val="24"/>
              </w:rPr>
              <w:t>jeigu terminai nesutampa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pirmenybė </w:t>
            </w:r>
            <w:r w:rsidRPr="00D162CA">
              <w:rPr>
                <w:rFonts w:ascii="Times New Roman" w:eastAsia="Times New Roman" w:hAnsi="Times New Roman" w:cs="Times New Roman"/>
                <w:sz w:val="24"/>
                <w:szCs w:val="24"/>
              </w:rPr>
              <w:t>teikiama angliškam</w:t>
            </w:r>
            <w:r w:rsidRPr="00831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A09138A" w14:textId="22115B4F" w:rsidR="00741816" w:rsidRPr="00741816" w:rsidRDefault="00741816" w:rsidP="00741816">
      <w:pPr>
        <w:tabs>
          <w:tab w:val="left" w:pos="4962"/>
        </w:tabs>
        <w:spacing w:before="24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41816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Term of reference </w:t>
      </w:r>
      <w:r w:rsidRPr="00741816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7F2C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r w:rsidRPr="007F2C51">
        <w:rPr>
          <w:rFonts w:ascii="Times New Roman" w:hAnsi="Times New Roman" w:cs="Times New Roman"/>
          <w:b/>
          <w:sz w:val="28"/>
          <w:szCs w:val="28"/>
        </w:rPr>
        <w:t>Nustatytas standartas</w:t>
      </w:r>
      <w:r w:rsidR="005057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2398"/>
        <w:gridCol w:w="6654"/>
      </w:tblGrid>
      <w:tr w:rsidR="00FA6522" w:rsidRPr="007F2C51" w14:paraId="3F5C50C6" w14:textId="77777777" w:rsidTr="00994FAE">
        <w:trPr>
          <w:trHeight w:val="406"/>
        </w:trPr>
        <w:tc>
          <w:tcPr>
            <w:tcW w:w="576" w:type="dxa"/>
            <w:vAlign w:val="center"/>
          </w:tcPr>
          <w:p w14:paraId="38A97599" w14:textId="293886C0" w:rsidR="00FA6522" w:rsidRPr="00741816" w:rsidRDefault="001250C9" w:rsidP="00977CBE">
            <w:pPr>
              <w:tabs>
                <w:tab w:val="left" w:pos="4962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2.2</w:t>
            </w:r>
            <w:r w:rsidR="00FA65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98" w:type="dxa"/>
            <w:vAlign w:val="center"/>
          </w:tcPr>
          <w:p w14:paraId="581139F5" w14:textId="19467B00" w:rsidR="00FA6522" w:rsidRPr="00741816" w:rsidRDefault="00FA6522" w:rsidP="00977CBE">
            <w:pPr>
              <w:tabs>
                <w:tab w:val="left" w:pos="4962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UN regulations</w:t>
            </w:r>
          </w:p>
        </w:tc>
        <w:tc>
          <w:tcPr>
            <w:tcW w:w="6654" w:type="dxa"/>
            <w:vAlign w:val="center"/>
          </w:tcPr>
          <w:p w14:paraId="27E961DE" w14:textId="712DB178" w:rsidR="00FA6522" w:rsidRPr="00741816" w:rsidRDefault="00FA6522" w:rsidP="00977CBE">
            <w:pPr>
              <w:tabs>
                <w:tab w:val="left" w:pos="4962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C1F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UN regulation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8C1F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for transportation and handling of dangerous goods</w:t>
            </w:r>
          </w:p>
        </w:tc>
      </w:tr>
      <w:tr w:rsidR="00DE7692" w:rsidRPr="00741816" w14:paraId="52289C77" w14:textId="77777777" w:rsidTr="00994FAE">
        <w:trPr>
          <w:trHeight w:val="406"/>
        </w:trPr>
        <w:tc>
          <w:tcPr>
            <w:tcW w:w="576" w:type="dxa"/>
            <w:vAlign w:val="center"/>
          </w:tcPr>
          <w:p w14:paraId="074E3910" w14:textId="347421D8" w:rsidR="00DE7692" w:rsidRDefault="001250C9" w:rsidP="00977CBE">
            <w:pPr>
              <w:tabs>
                <w:tab w:val="left" w:pos="4962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2.3</w:t>
            </w:r>
            <w:r w:rsidR="00DE76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398" w:type="dxa"/>
            <w:vAlign w:val="center"/>
          </w:tcPr>
          <w:p w14:paraId="5EEFD99A" w14:textId="403F8EC6" w:rsidR="00DE7692" w:rsidRDefault="00DE7692" w:rsidP="00977CBE">
            <w:pPr>
              <w:tabs>
                <w:tab w:val="left" w:pos="496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C.I.P.</w:t>
            </w:r>
          </w:p>
        </w:tc>
        <w:tc>
          <w:tcPr>
            <w:tcW w:w="6654" w:type="dxa"/>
            <w:vAlign w:val="center"/>
          </w:tcPr>
          <w:p w14:paraId="327BCB07" w14:textId="759705FA" w:rsidR="00DE7692" w:rsidRPr="008C1FAA" w:rsidRDefault="00DE7692" w:rsidP="00977CBE">
            <w:pPr>
              <w:tabs>
                <w:tab w:val="left" w:pos="4962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7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Permanent International Commission for the Proof of Small-arms</w:t>
            </w:r>
          </w:p>
        </w:tc>
      </w:tr>
    </w:tbl>
    <w:p w14:paraId="21B5D47C" w14:textId="4106C174" w:rsidR="00D0146B" w:rsidRPr="00FA6522" w:rsidRDefault="00FA6522" w:rsidP="00831FD5">
      <w:pPr>
        <w:tabs>
          <w:tab w:val="left" w:pos="4962"/>
        </w:tabs>
        <w:spacing w:before="24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3</w:t>
      </w:r>
      <w:r w:rsidR="00984E7D" w:rsidRPr="00FA6522">
        <w:rPr>
          <w:rFonts w:ascii="Times New Roman" w:eastAsia="Calibri" w:hAnsi="Times New Roman" w:cs="Times New Roman"/>
          <w:b/>
          <w:sz w:val="28"/>
          <w:szCs w:val="28"/>
          <w:lang w:val="en-US"/>
        </w:rPr>
        <w:t>.</w:t>
      </w:r>
      <w:r w:rsidR="00984E7D" w:rsidRPr="00FA65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A6522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="00984E7D" w:rsidRPr="00FA6522">
        <w:rPr>
          <w:rFonts w:ascii="Times New Roman" w:eastAsia="Calibri" w:hAnsi="Times New Roman" w:cs="Times New Roman"/>
          <w:b/>
          <w:sz w:val="28"/>
          <w:szCs w:val="28"/>
          <w:lang w:val="en-US"/>
        </w:rPr>
        <w:t>equirements</w:t>
      </w:r>
      <w:r w:rsidR="00984E7D" w:rsidRPr="00FA6522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3</w:t>
      </w:r>
      <w:r w:rsidR="00984E7D" w:rsidRPr="00FA652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>R</w:t>
      </w:r>
      <w:r w:rsidR="00984E7D" w:rsidRPr="00FA6522">
        <w:rPr>
          <w:rFonts w:ascii="Times New Roman" w:eastAsia="Calibri" w:hAnsi="Times New Roman" w:cs="Times New Roman"/>
          <w:b/>
          <w:sz w:val="28"/>
          <w:szCs w:val="28"/>
        </w:rPr>
        <w:t>eikalavimai</w:t>
      </w:r>
    </w:p>
    <w:tbl>
      <w:tblPr>
        <w:tblStyle w:val="TableGrid"/>
        <w:tblW w:w="9853" w:type="dxa"/>
        <w:tblLook w:val="04A0" w:firstRow="1" w:lastRow="0" w:firstColumn="1" w:lastColumn="0" w:noHBand="0" w:noVBand="1"/>
      </w:tblPr>
      <w:tblGrid>
        <w:gridCol w:w="2814"/>
        <w:gridCol w:w="2270"/>
        <w:gridCol w:w="2404"/>
        <w:gridCol w:w="6"/>
        <w:gridCol w:w="2359"/>
      </w:tblGrid>
      <w:tr w:rsidR="00406DA8" w14:paraId="290060D4" w14:textId="77777777" w:rsidTr="00B431FE">
        <w:trPr>
          <w:trHeight w:val="571"/>
        </w:trPr>
        <w:tc>
          <w:tcPr>
            <w:tcW w:w="2814" w:type="dxa"/>
            <w:vAlign w:val="center"/>
          </w:tcPr>
          <w:p w14:paraId="36743508" w14:textId="787AE087" w:rsidR="00406DA8" w:rsidRPr="00AD37F3" w:rsidRDefault="00124FB9" w:rsidP="0036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F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406DA8" w:rsidRPr="00AD37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06DA8" w:rsidRPr="00AD37F3">
              <w:rPr>
                <w:rFonts w:ascii="Times New Roman" w:hAnsi="Times New Roman" w:cs="Times New Roman"/>
                <w:sz w:val="24"/>
                <w:szCs w:val="24"/>
              </w:rPr>
              <w:t>Cartridge</w:t>
            </w:r>
            <w:proofErr w:type="spellEnd"/>
            <w:r w:rsidR="00406DA8" w:rsidRPr="00AD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6DA8" w:rsidRPr="00AD37F3">
              <w:rPr>
                <w:rFonts w:ascii="Times New Roman" w:hAnsi="Times New Roman" w:cs="Times New Roman"/>
                <w:sz w:val="24"/>
                <w:szCs w:val="24"/>
              </w:rPr>
              <w:t>Caliber</w:t>
            </w:r>
            <w:proofErr w:type="spellEnd"/>
          </w:p>
        </w:tc>
        <w:tc>
          <w:tcPr>
            <w:tcW w:w="2270" w:type="dxa"/>
            <w:vAlign w:val="center"/>
          </w:tcPr>
          <w:p w14:paraId="23234AFA" w14:textId="36A64CFF" w:rsidR="00406DA8" w:rsidRPr="00AD37F3" w:rsidRDefault="006841BC" w:rsidP="00CD5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x 76</w:t>
            </w:r>
            <w:r w:rsidR="004B6FBC" w:rsidRPr="004B6FBC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</w:tc>
        <w:tc>
          <w:tcPr>
            <w:tcW w:w="2410" w:type="dxa"/>
            <w:gridSpan w:val="2"/>
            <w:vAlign w:val="center"/>
          </w:tcPr>
          <w:p w14:paraId="1C000ED9" w14:textId="0DDFFB99" w:rsidR="00406DA8" w:rsidRDefault="00124FB9" w:rsidP="0036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406DA8">
              <w:rPr>
                <w:rFonts w:ascii="Times New Roman" w:hAnsi="Times New Roman" w:cs="Times New Roman"/>
                <w:sz w:val="24"/>
                <w:szCs w:val="24"/>
              </w:rPr>
              <w:t>. Šovinio kalibras</w:t>
            </w:r>
          </w:p>
        </w:tc>
        <w:tc>
          <w:tcPr>
            <w:tcW w:w="2359" w:type="dxa"/>
            <w:vAlign w:val="center"/>
          </w:tcPr>
          <w:p w14:paraId="49464CE2" w14:textId="1235C3AF" w:rsidR="00406DA8" w:rsidRDefault="006841BC" w:rsidP="00CD5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x 76</w:t>
            </w:r>
            <w:r w:rsidR="004B6FBC" w:rsidRPr="004B6FBC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</w:tc>
      </w:tr>
      <w:tr w:rsidR="00406DA8" w14:paraId="21B5D485" w14:textId="48BB0014" w:rsidTr="00AC4EDA">
        <w:trPr>
          <w:trHeight w:val="369"/>
        </w:trPr>
        <w:tc>
          <w:tcPr>
            <w:tcW w:w="2814" w:type="dxa"/>
            <w:vAlign w:val="center"/>
          </w:tcPr>
          <w:p w14:paraId="21B5D482" w14:textId="0E20EDCF" w:rsidR="00406DA8" w:rsidRPr="00AD37F3" w:rsidRDefault="00124FB9" w:rsidP="0036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F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406DA8" w:rsidRPr="00AD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6DA8" w:rsidRPr="00AD37F3">
              <w:rPr>
                <w:rFonts w:ascii="Times New Roman" w:hAnsi="Times New Roman" w:cs="Times New Roman"/>
                <w:sz w:val="24"/>
                <w:szCs w:val="24"/>
              </w:rPr>
              <w:t>Projectile</w:t>
            </w:r>
            <w:proofErr w:type="spellEnd"/>
            <w:r w:rsidR="00406DA8" w:rsidRPr="00AD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6DA8" w:rsidRPr="00AD37F3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</w:p>
        </w:tc>
        <w:tc>
          <w:tcPr>
            <w:tcW w:w="2270" w:type="dxa"/>
            <w:vAlign w:val="center"/>
          </w:tcPr>
          <w:p w14:paraId="21B5D483" w14:textId="60DB74CC" w:rsidR="00406DA8" w:rsidRPr="00AD37F3" w:rsidRDefault="00DC2608" w:rsidP="0013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F3">
              <w:rPr>
                <w:rFonts w:ascii="Times New Roman" w:hAnsi="Times New Roman" w:cs="Times New Roman"/>
                <w:sz w:val="24"/>
                <w:szCs w:val="24"/>
              </w:rPr>
              <w:t xml:space="preserve">3.5–3.7 mm </w:t>
            </w:r>
            <w:proofErr w:type="spellStart"/>
            <w:r w:rsidRPr="00AD37F3">
              <w:rPr>
                <w:rFonts w:ascii="Times New Roman" w:hAnsi="Times New Roman" w:cs="Times New Roman"/>
                <w:sz w:val="24"/>
                <w:szCs w:val="24"/>
              </w:rPr>
              <w:t>buckshot</w:t>
            </w:r>
            <w:proofErr w:type="spellEnd"/>
            <w:r w:rsidRPr="00AD3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37F3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AD37F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AD37F3">
              <w:rPr>
                <w:rFonts w:ascii="Times New Roman" w:hAnsi="Times New Roman" w:cs="Times New Roman"/>
                <w:sz w:val="24"/>
                <w:szCs w:val="24"/>
              </w:rPr>
              <w:t>plastic</w:t>
            </w:r>
            <w:proofErr w:type="spellEnd"/>
            <w:r w:rsidRPr="00AD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37F3">
              <w:rPr>
                <w:rFonts w:ascii="Times New Roman" w:hAnsi="Times New Roman" w:cs="Times New Roman"/>
                <w:sz w:val="24"/>
                <w:szCs w:val="24"/>
              </w:rPr>
              <w:t>container</w:t>
            </w:r>
            <w:proofErr w:type="spellEnd"/>
            <w:r w:rsidRPr="00AD3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  <w:vAlign w:val="center"/>
          </w:tcPr>
          <w:p w14:paraId="21B5D484" w14:textId="704F26A4" w:rsidR="00406DA8" w:rsidRPr="0063752A" w:rsidRDefault="00124FB9" w:rsidP="0036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BD2869" w:rsidRPr="00F545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2869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406DA8">
              <w:rPr>
                <w:rFonts w:ascii="Times New Roman" w:hAnsi="Times New Roman" w:cs="Times New Roman"/>
                <w:sz w:val="24"/>
                <w:szCs w:val="24"/>
              </w:rPr>
              <w:t>ulkos tipas</w:t>
            </w:r>
          </w:p>
        </w:tc>
        <w:tc>
          <w:tcPr>
            <w:tcW w:w="2359" w:type="dxa"/>
            <w:vAlign w:val="center"/>
          </w:tcPr>
          <w:p w14:paraId="48FEDC8D" w14:textId="525FBC03" w:rsidR="00406DA8" w:rsidRPr="00AD37F3" w:rsidRDefault="006841BC" w:rsidP="000F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41BC">
              <w:rPr>
                <w:rFonts w:ascii="Times New Roman" w:hAnsi="Times New Roman" w:cs="Times New Roman"/>
                <w:sz w:val="24"/>
                <w:szCs w:val="24"/>
              </w:rPr>
              <w:t>,5-3,7 mm. šratai, plastikiniame konteineryje.</w:t>
            </w:r>
          </w:p>
        </w:tc>
      </w:tr>
      <w:tr w:rsidR="00406DA8" w14:paraId="21B5D489" w14:textId="74BB3696" w:rsidTr="002E1A1F">
        <w:trPr>
          <w:trHeight w:val="417"/>
        </w:trPr>
        <w:tc>
          <w:tcPr>
            <w:tcW w:w="2814" w:type="dxa"/>
            <w:vAlign w:val="center"/>
          </w:tcPr>
          <w:p w14:paraId="21B5D486" w14:textId="03C7EC11" w:rsidR="00406DA8" w:rsidRPr="00AD37F3" w:rsidRDefault="00124FB9" w:rsidP="00A24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F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406DA8" w:rsidRPr="00AD37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C2608" w:rsidRPr="00AD37F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DC2608" w:rsidRPr="00AD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2608" w:rsidRPr="00AD37F3"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  <w:proofErr w:type="spellEnd"/>
            <w:r w:rsidR="00DC2608" w:rsidRPr="00AD37F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="00DC2608" w:rsidRPr="00AD37F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DC2608" w:rsidRPr="00AD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7F3" w:rsidRPr="00AD37F3">
              <w:rPr>
                <w:rFonts w:ascii="Times New Roman" w:hAnsi="Times New Roman" w:cs="Times New Roman"/>
                <w:sz w:val="24"/>
                <w:szCs w:val="24"/>
              </w:rPr>
              <w:t>buckshot</w:t>
            </w:r>
            <w:proofErr w:type="spellEnd"/>
            <w:r w:rsidR="00DC2608" w:rsidRPr="00AD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2608" w:rsidRPr="00AD37F3">
              <w:rPr>
                <w:rFonts w:ascii="Times New Roman" w:hAnsi="Times New Roman" w:cs="Times New Roman"/>
                <w:sz w:val="24"/>
                <w:szCs w:val="24"/>
              </w:rPr>
              <w:t>charge</w:t>
            </w:r>
            <w:proofErr w:type="spellEnd"/>
            <w:r w:rsidR="00DC2608" w:rsidRPr="00AD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2608" w:rsidRPr="00AD37F3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="00DC2608" w:rsidRPr="00AD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2608" w:rsidRPr="00AD37F3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proofErr w:type="spellEnd"/>
            <w:r w:rsidR="00DC2608" w:rsidRPr="00AD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2608" w:rsidRPr="00AD37F3">
              <w:rPr>
                <w:rFonts w:ascii="Times New Roman" w:hAnsi="Times New Roman" w:cs="Times New Roman"/>
                <w:sz w:val="24"/>
                <w:szCs w:val="24"/>
              </w:rPr>
              <w:t>less</w:t>
            </w:r>
            <w:proofErr w:type="spellEnd"/>
            <w:r w:rsidR="00DC2608" w:rsidRPr="00AD37F3">
              <w:rPr>
                <w:rFonts w:ascii="Times New Roman" w:hAnsi="Times New Roman" w:cs="Times New Roman"/>
                <w:sz w:val="24"/>
                <w:szCs w:val="24"/>
              </w:rPr>
              <w:t xml:space="preserve"> than</w:t>
            </w:r>
          </w:p>
        </w:tc>
        <w:tc>
          <w:tcPr>
            <w:tcW w:w="2270" w:type="dxa"/>
            <w:vAlign w:val="center"/>
          </w:tcPr>
          <w:p w14:paraId="21B5D487" w14:textId="2F7B7C33" w:rsidR="00406DA8" w:rsidRPr="00AD37F3" w:rsidRDefault="00DC2608" w:rsidP="00E4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F3">
              <w:rPr>
                <w:rFonts w:ascii="Times New Roman" w:hAnsi="Times New Roman" w:cs="Times New Roman"/>
                <w:sz w:val="24"/>
                <w:szCs w:val="24"/>
              </w:rPr>
              <w:t>50 ± 0,3 g</w:t>
            </w:r>
          </w:p>
        </w:tc>
        <w:tc>
          <w:tcPr>
            <w:tcW w:w="2410" w:type="dxa"/>
            <w:gridSpan w:val="2"/>
            <w:vAlign w:val="center"/>
          </w:tcPr>
          <w:p w14:paraId="21B5D488" w14:textId="55570E60" w:rsidR="00406DA8" w:rsidRPr="00AD37F3" w:rsidRDefault="00124FB9" w:rsidP="0036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1B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BD2869" w:rsidRPr="006841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841BC" w:rsidRPr="006841BC">
              <w:rPr>
                <w:rFonts w:ascii="Times New Roman" w:hAnsi="Times New Roman" w:cs="Times New Roman"/>
                <w:sz w:val="24"/>
                <w:szCs w:val="24"/>
              </w:rPr>
              <w:t>Šratų užtaiso svoris ne mažesnis kaip</w:t>
            </w:r>
          </w:p>
        </w:tc>
        <w:tc>
          <w:tcPr>
            <w:tcW w:w="2359" w:type="dxa"/>
            <w:vAlign w:val="center"/>
          </w:tcPr>
          <w:p w14:paraId="4D2A0331" w14:textId="0895D24D" w:rsidR="00406DA8" w:rsidRPr="00AD37F3" w:rsidRDefault="006841BC" w:rsidP="00E4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F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BE7974" w:rsidRPr="00AD37F3">
              <w:rPr>
                <w:rFonts w:ascii="Times New Roman" w:hAnsi="Times New Roman" w:cs="Times New Roman"/>
                <w:sz w:val="24"/>
                <w:szCs w:val="24"/>
              </w:rPr>
              <w:t xml:space="preserve"> ± 0,3</w:t>
            </w:r>
            <w:r w:rsidR="00C42F08" w:rsidRPr="00AD37F3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</w:tr>
      <w:tr w:rsidR="0070317B" w14:paraId="21B5D4AF" w14:textId="57F91CC8" w:rsidTr="004F0E8D">
        <w:trPr>
          <w:trHeight w:val="695"/>
        </w:trPr>
        <w:tc>
          <w:tcPr>
            <w:tcW w:w="2814" w:type="dxa"/>
            <w:vAlign w:val="center"/>
          </w:tcPr>
          <w:p w14:paraId="21B5D4AC" w14:textId="19423211" w:rsidR="0070317B" w:rsidRPr="00AD37F3" w:rsidRDefault="001250C9" w:rsidP="00A84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F3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70317B" w:rsidRPr="00AD37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0317B" w:rsidRPr="00AD37F3">
              <w:rPr>
                <w:rFonts w:ascii="Times New Roman" w:hAnsi="Times New Roman" w:cs="Times New Roman"/>
                <w:sz w:val="24"/>
                <w:szCs w:val="24"/>
              </w:rPr>
              <w:t>Operational</w:t>
            </w:r>
            <w:proofErr w:type="spellEnd"/>
            <w:r w:rsidR="0070317B" w:rsidRPr="00AD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317B" w:rsidRPr="00AD37F3">
              <w:rPr>
                <w:rFonts w:ascii="Times New Roman" w:hAnsi="Times New Roman" w:cs="Times New Roman"/>
                <w:sz w:val="24"/>
                <w:szCs w:val="24"/>
              </w:rPr>
              <w:t>temperature</w:t>
            </w:r>
            <w:proofErr w:type="spellEnd"/>
            <w:r w:rsidR="0070317B" w:rsidRPr="00AD37F3">
              <w:rPr>
                <w:rFonts w:ascii="Times New Roman" w:hAnsi="Times New Roman" w:cs="Times New Roman"/>
                <w:sz w:val="24"/>
                <w:szCs w:val="24"/>
              </w:rPr>
              <w:t xml:space="preserve"> range</w:t>
            </w:r>
            <w:r w:rsidR="003C5F77" w:rsidRPr="00AD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vAlign w:val="center"/>
          </w:tcPr>
          <w:p w14:paraId="21B5D4AD" w14:textId="7FE5166E" w:rsidR="0070317B" w:rsidRPr="00AD37F3" w:rsidRDefault="00B473C0" w:rsidP="0036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841BC" w:rsidRPr="00AD37F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C4EDA" w:rsidRPr="00AD37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2D5B" w:rsidRPr="00AD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1BC" w:rsidRPr="00AD37F3">
              <w:rPr>
                <w:rFonts w:ascii="Times New Roman" w:hAnsi="Times New Roman" w:cs="Times New Roman"/>
                <w:sz w:val="24"/>
                <w:szCs w:val="24"/>
              </w:rPr>
              <w:t>°C to + 4</w:t>
            </w:r>
            <w:r w:rsidR="0070317B" w:rsidRPr="00AD37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2D5B" w:rsidRPr="00AD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17B" w:rsidRPr="00AD37F3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2404" w:type="dxa"/>
            <w:vAlign w:val="center"/>
          </w:tcPr>
          <w:p w14:paraId="21B5D4AE" w14:textId="36B357F5" w:rsidR="0070317B" w:rsidRPr="006841BC" w:rsidRDefault="00B507FE" w:rsidP="00A84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1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70317B" w:rsidRPr="006841BC">
              <w:rPr>
                <w:rFonts w:ascii="Times New Roman" w:hAnsi="Times New Roman" w:cs="Times New Roman"/>
                <w:sz w:val="24"/>
                <w:szCs w:val="24"/>
              </w:rPr>
              <w:t>. Eksploatacinis temperatūros diapazonas</w:t>
            </w:r>
            <w:r w:rsidR="003C5F77" w:rsidRPr="00684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5" w:type="dxa"/>
            <w:gridSpan w:val="2"/>
            <w:vAlign w:val="center"/>
          </w:tcPr>
          <w:p w14:paraId="0AD210B5" w14:textId="691604CB" w:rsidR="0070317B" w:rsidRPr="00AD37F3" w:rsidRDefault="006841BC" w:rsidP="00D4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F3">
              <w:rPr>
                <w:rFonts w:ascii="Times New Roman" w:hAnsi="Times New Roman" w:cs="Times New Roman"/>
                <w:sz w:val="24"/>
                <w:szCs w:val="24"/>
              </w:rPr>
              <w:t>– 10 °C to + 40 °C</w:t>
            </w:r>
          </w:p>
        </w:tc>
      </w:tr>
      <w:tr w:rsidR="0070317B" w14:paraId="21B5D4C0" w14:textId="77777777" w:rsidTr="00E50C87">
        <w:trPr>
          <w:trHeight w:val="558"/>
        </w:trPr>
        <w:tc>
          <w:tcPr>
            <w:tcW w:w="2814" w:type="dxa"/>
            <w:vAlign w:val="center"/>
          </w:tcPr>
          <w:p w14:paraId="21B5D4BC" w14:textId="435111D2" w:rsidR="0070317B" w:rsidRPr="00AD37F3" w:rsidRDefault="001250C9" w:rsidP="00FB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F3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="0070317B" w:rsidRPr="00AD37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D37F3" w:rsidRPr="00AD37F3">
              <w:rPr>
                <w:rFonts w:ascii="Times New Roman" w:hAnsi="Times New Roman" w:cs="Times New Roman"/>
                <w:sz w:val="24"/>
                <w:szCs w:val="24"/>
              </w:rPr>
              <w:t>Initial</w:t>
            </w:r>
            <w:proofErr w:type="spellEnd"/>
            <w:r w:rsidR="00AD37F3" w:rsidRPr="00AD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7F3" w:rsidRPr="00AD37F3">
              <w:rPr>
                <w:rFonts w:ascii="Times New Roman" w:hAnsi="Times New Roman" w:cs="Times New Roman"/>
                <w:sz w:val="24"/>
                <w:szCs w:val="24"/>
              </w:rPr>
              <w:t>velocity</w:t>
            </w:r>
            <w:proofErr w:type="spellEnd"/>
            <w:r w:rsidR="00AD37F3" w:rsidRPr="00AD37F3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="00AD37F3" w:rsidRPr="00AD37F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AD37F3" w:rsidRPr="00AD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7F3" w:rsidRPr="00AD37F3">
              <w:rPr>
                <w:rFonts w:ascii="Times New Roman" w:hAnsi="Times New Roman" w:cs="Times New Roman"/>
                <w:sz w:val="24"/>
                <w:szCs w:val="24"/>
              </w:rPr>
              <w:t>end</w:t>
            </w:r>
            <w:proofErr w:type="spellEnd"/>
            <w:r w:rsidR="00AD37F3" w:rsidRPr="00AD37F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="00AD37F3" w:rsidRPr="00AD37F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AD37F3" w:rsidRPr="00AD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7F3" w:rsidRPr="00AD37F3">
              <w:rPr>
                <w:rFonts w:ascii="Times New Roman" w:hAnsi="Times New Roman" w:cs="Times New Roman"/>
                <w:sz w:val="24"/>
                <w:szCs w:val="24"/>
              </w:rPr>
              <w:t>barell</w:t>
            </w:r>
            <w:proofErr w:type="spellEnd"/>
            <w:r w:rsidR="00A84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4F14" w:rsidRPr="00A84F14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proofErr w:type="spellEnd"/>
            <w:r w:rsidR="00A84F14" w:rsidRPr="00A84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4F14" w:rsidRPr="00A84F14">
              <w:rPr>
                <w:rFonts w:ascii="Times New Roman" w:hAnsi="Times New Roman" w:cs="Times New Roman"/>
                <w:sz w:val="24"/>
                <w:szCs w:val="24"/>
              </w:rPr>
              <w:t>less</w:t>
            </w:r>
            <w:proofErr w:type="spellEnd"/>
            <w:r w:rsidR="00A84F14" w:rsidRPr="00A84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4F14" w:rsidRPr="00A84F14">
              <w:rPr>
                <w:rFonts w:ascii="Times New Roman" w:hAnsi="Times New Roman" w:cs="Times New Roman"/>
                <w:sz w:val="24"/>
                <w:szCs w:val="24"/>
              </w:rPr>
              <w:t>than</w:t>
            </w:r>
            <w:proofErr w:type="spellEnd"/>
          </w:p>
        </w:tc>
        <w:tc>
          <w:tcPr>
            <w:tcW w:w="2270" w:type="dxa"/>
            <w:vAlign w:val="center"/>
          </w:tcPr>
          <w:p w14:paraId="21B5D4BD" w14:textId="72627CF5" w:rsidR="0070317B" w:rsidRPr="00AD37F3" w:rsidRDefault="00AD37F3" w:rsidP="00A84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F14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="00A84F14" w:rsidRPr="00A84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F14">
              <w:rPr>
                <w:rFonts w:ascii="Times New Roman" w:hAnsi="Times New Roman" w:cs="Times New Roman"/>
                <w:sz w:val="24"/>
                <w:szCs w:val="24"/>
              </w:rPr>
              <w:t>m/s.</w:t>
            </w:r>
          </w:p>
        </w:tc>
        <w:tc>
          <w:tcPr>
            <w:tcW w:w="2404" w:type="dxa"/>
            <w:vAlign w:val="center"/>
          </w:tcPr>
          <w:p w14:paraId="21B5D4BE" w14:textId="04353BFD" w:rsidR="0070317B" w:rsidRPr="006841BC" w:rsidRDefault="006841BC" w:rsidP="0036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1BC">
              <w:rPr>
                <w:rFonts w:ascii="Times New Roman" w:hAnsi="Times New Roman" w:cs="Times New Roman"/>
                <w:sz w:val="24"/>
                <w:szCs w:val="24"/>
              </w:rPr>
              <w:t>3.5. Pradinis greitis ties vamzdžio galu</w:t>
            </w:r>
            <w:r w:rsidR="00A84F14">
              <w:rPr>
                <w:rFonts w:ascii="Times New Roman" w:hAnsi="Times New Roman" w:cs="Times New Roman"/>
                <w:sz w:val="24"/>
                <w:szCs w:val="24"/>
              </w:rPr>
              <w:t xml:space="preserve"> nemažesnis nei</w:t>
            </w:r>
          </w:p>
        </w:tc>
        <w:tc>
          <w:tcPr>
            <w:tcW w:w="2365" w:type="dxa"/>
            <w:gridSpan w:val="2"/>
            <w:vAlign w:val="center"/>
          </w:tcPr>
          <w:p w14:paraId="21B5D4BF" w14:textId="23094BF2" w:rsidR="0070317B" w:rsidRPr="00AD37F3" w:rsidRDefault="006841BC" w:rsidP="00A84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1BC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="00A84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F14" w:rsidRPr="00A84F14">
              <w:rPr>
                <w:rFonts w:ascii="Times New Roman" w:hAnsi="Times New Roman" w:cs="Times New Roman"/>
                <w:sz w:val="24"/>
                <w:szCs w:val="24"/>
              </w:rPr>
              <w:t>m/s.</w:t>
            </w:r>
          </w:p>
        </w:tc>
      </w:tr>
      <w:tr w:rsidR="00AC4A63" w14:paraId="083B8E42" w14:textId="77777777" w:rsidTr="00E50C87">
        <w:trPr>
          <w:trHeight w:val="558"/>
        </w:trPr>
        <w:tc>
          <w:tcPr>
            <w:tcW w:w="2814" w:type="dxa"/>
            <w:vAlign w:val="center"/>
          </w:tcPr>
          <w:p w14:paraId="5375577E" w14:textId="1CFAB2BB" w:rsidR="00AC4A63" w:rsidRPr="00AD37F3" w:rsidRDefault="00AC4A63" w:rsidP="00FB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C4A63">
              <w:rPr>
                <w:rFonts w:ascii="Times New Roman" w:hAnsi="Times New Roman" w:cs="Times New Roman"/>
                <w:sz w:val="24"/>
                <w:szCs w:val="24"/>
              </w:rPr>
              <w:t>uckshot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material</w:t>
            </w:r>
            <w:proofErr w:type="spellEnd"/>
          </w:p>
        </w:tc>
        <w:tc>
          <w:tcPr>
            <w:tcW w:w="2270" w:type="dxa"/>
            <w:vAlign w:val="center"/>
          </w:tcPr>
          <w:p w14:paraId="57AA6BE4" w14:textId="5982503A" w:rsidR="00AC4A63" w:rsidRPr="00AD37F3" w:rsidRDefault="00AC4A63" w:rsidP="0036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proofErr w:type="spellEnd"/>
          </w:p>
        </w:tc>
        <w:tc>
          <w:tcPr>
            <w:tcW w:w="2404" w:type="dxa"/>
            <w:vAlign w:val="center"/>
          </w:tcPr>
          <w:p w14:paraId="3FF9F1FB" w14:textId="67B33E53" w:rsidR="00AC4A63" w:rsidRPr="006841BC" w:rsidRDefault="00AC4A63" w:rsidP="00AC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3.6. </w:t>
            </w:r>
            <w:r w:rsidRPr="00AC4A63">
              <w:rPr>
                <w:rFonts w:ascii="Times New Roman" w:hAnsi="Times New Roman" w:cs="Times New Roman"/>
                <w:sz w:val="24"/>
                <w:szCs w:val="24"/>
              </w:rPr>
              <w:t xml:space="preserve">Šratų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medžiaga </w:t>
            </w:r>
          </w:p>
        </w:tc>
        <w:tc>
          <w:tcPr>
            <w:tcW w:w="2365" w:type="dxa"/>
            <w:gridSpan w:val="2"/>
            <w:vAlign w:val="center"/>
          </w:tcPr>
          <w:p w14:paraId="72C4F017" w14:textId="741BEE17" w:rsidR="00AC4A63" w:rsidRPr="006841BC" w:rsidRDefault="00AC4A63" w:rsidP="0016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AC4A63">
              <w:rPr>
                <w:rFonts w:ascii="Times New Roman" w:hAnsi="Times New Roman" w:cs="Times New Roman"/>
                <w:sz w:val="24"/>
                <w:szCs w:val="24"/>
              </w:rPr>
              <w:t>vinas</w:t>
            </w:r>
          </w:p>
        </w:tc>
      </w:tr>
      <w:tr w:rsidR="0070317B" w14:paraId="21B5D4CB" w14:textId="309B68FC" w:rsidTr="004F0E8D">
        <w:trPr>
          <w:trHeight w:val="419"/>
        </w:trPr>
        <w:tc>
          <w:tcPr>
            <w:tcW w:w="2814" w:type="dxa"/>
            <w:tcBorders>
              <w:bottom w:val="single" w:sz="4" w:space="0" w:color="auto"/>
            </w:tcBorders>
            <w:vAlign w:val="center"/>
          </w:tcPr>
          <w:p w14:paraId="21B5D4C8" w14:textId="5AA2A7F9" w:rsidR="0070317B" w:rsidRPr="00AD37F3" w:rsidRDefault="0070317B" w:rsidP="00AD37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7F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C4A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D37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D37F3">
              <w:rPr>
                <w:rFonts w:ascii="Times New Roman" w:hAnsi="Times New Roman" w:cs="Times New Roman"/>
                <w:sz w:val="24"/>
                <w:szCs w:val="24"/>
              </w:rPr>
              <w:t>Cartridge</w:t>
            </w:r>
            <w:proofErr w:type="spellEnd"/>
            <w:r w:rsidR="00AD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7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packaging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vAlign w:val="center"/>
          </w:tcPr>
          <w:p w14:paraId="43DB1132" w14:textId="761AEDB3" w:rsidR="00AD37F3" w:rsidRDefault="00AD37F3" w:rsidP="00AD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1A515" w14:textId="230DD30C" w:rsidR="00AD37F3" w:rsidRPr="00AD37F3" w:rsidRDefault="00AD37F3" w:rsidP="00AD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37F3">
              <w:rPr>
                <w:rFonts w:ascii="Times New Roman" w:hAnsi="Times New Roman" w:cs="Times New Roman"/>
                <w:sz w:val="24"/>
                <w:szCs w:val="24"/>
              </w:rPr>
              <w:t xml:space="preserve">- 30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37F3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AD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37F3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AD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37F3">
              <w:rPr>
                <w:rFonts w:ascii="Times New Roman" w:hAnsi="Times New Roman" w:cs="Times New Roman"/>
                <w:sz w:val="24"/>
                <w:szCs w:val="24"/>
              </w:rPr>
              <w:t>box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B5D4C9" w14:textId="38AAFECC" w:rsidR="0070317B" w:rsidRPr="00AD37F3" w:rsidRDefault="0070317B" w:rsidP="00AD3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  <w:vAlign w:val="center"/>
          </w:tcPr>
          <w:p w14:paraId="21B5D4CA" w14:textId="36F98AEE" w:rsidR="0070317B" w:rsidRPr="00AD37F3" w:rsidRDefault="00AC4A63" w:rsidP="00AD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  <w:r w:rsidR="0070317B" w:rsidRPr="00AD37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D37F3">
              <w:rPr>
                <w:rFonts w:ascii="Times New Roman" w:hAnsi="Times New Roman" w:cs="Times New Roman"/>
                <w:sz w:val="24"/>
                <w:szCs w:val="24"/>
              </w:rPr>
              <w:t>Šovinių pakuotė</w:t>
            </w:r>
          </w:p>
        </w:tc>
        <w:tc>
          <w:tcPr>
            <w:tcW w:w="2365" w:type="dxa"/>
            <w:gridSpan w:val="2"/>
            <w:tcBorders>
              <w:bottom w:val="single" w:sz="4" w:space="0" w:color="auto"/>
            </w:tcBorders>
            <w:vAlign w:val="center"/>
          </w:tcPr>
          <w:p w14:paraId="55174D8F" w14:textId="1AA2B689" w:rsidR="0070317B" w:rsidRPr="00AD37F3" w:rsidRDefault="00AD37F3" w:rsidP="00D4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F3">
              <w:rPr>
                <w:rFonts w:ascii="Times New Roman" w:hAnsi="Times New Roman" w:cs="Times New Roman"/>
                <w:sz w:val="24"/>
                <w:szCs w:val="24"/>
              </w:rPr>
              <w:t>Dėžutės po 5-30 vnt./</w:t>
            </w:r>
            <w:proofErr w:type="spellStart"/>
            <w:r w:rsidRPr="00AD37F3">
              <w:rPr>
                <w:rFonts w:ascii="Times New Roman" w:hAnsi="Times New Roman" w:cs="Times New Roman"/>
                <w:sz w:val="24"/>
                <w:szCs w:val="24"/>
              </w:rPr>
              <w:t>dėž</w:t>
            </w:r>
            <w:proofErr w:type="spellEnd"/>
            <w:r w:rsidRPr="00AD3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319A" w14:paraId="323F0CDB" w14:textId="77777777" w:rsidTr="004F0E8D">
        <w:tc>
          <w:tcPr>
            <w:tcW w:w="2814" w:type="dxa"/>
            <w:vAlign w:val="center"/>
          </w:tcPr>
          <w:p w14:paraId="4E21E802" w14:textId="2B78A2C3" w:rsidR="00D5319A" w:rsidRPr="00AD37F3" w:rsidRDefault="00D5319A" w:rsidP="00D53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7A6">
              <w:rPr>
                <w:rFonts w:ascii="Times New Roman" w:hAnsi="Times New Roman" w:cs="Times New Roman"/>
                <w:sz w:val="24"/>
                <w:szCs w:val="24"/>
              </w:rPr>
              <w:t>3.8. Effective firing range</w:t>
            </w:r>
          </w:p>
        </w:tc>
        <w:tc>
          <w:tcPr>
            <w:tcW w:w="2270" w:type="dxa"/>
            <w:vAlign w:val="center"/>
          </w:tcPr>
          <w:p w14:paraId="05CE74A3" w14:textId="4E08CCE9" w:rsidR="00D5319A" w:rsidRPr="00AD37F3" w:rsidRDefault="00D5319A" w:rsidP="00D53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40 </w:t>
            </w:r>
            <w:r w:rsidRPr="007427A6">
              <w:rPr>
                <w:rFonts w:ascii="Times New Roman" w:hAnsi="Times New Roman" w:cs="Times New Roman"/>
                <w:sz w:val="24"/>
                <w:szCs w:val="24"/>
              </w:rPr>
              <w:t xml:space="preserve">up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27A6">
              <w:rPr>
                <w:rFonts w:ascii="Times New Roman" w:hAnsi="Times New Roman" w:cs="Times New Roman"/>
                <w:sz w:val="24"/>
                <w:szCs w:val="24"/>
              </w:rPr>
              <w:t>0 m</w:t>
            </w:r>
          </w:p>
        </w:tc>
        <w:tc>
          <w:tcPr>
            <w:tcW w:w="2404" w:type="dxa"/>
            <w:vAlign w:val="center"/>
          </w:tcPr>
          <w:p w14:paraId="5C5D57DF" w14:textId="42A9D7B8" w:rsidR="00D5319A" w:rsidRDefault="00D5319A" w:rsidP="00D53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7A6">
              <w:rPr>
                <w:rFonts w:ascii="Times New Roman" w:hAnsi="Times New Roman" w:cs="Times New Roman"/>
                <w:sz w:val="24"/>
                <w:szCs w:val="24"/>
              </w:rPr>
              <w:t>3.8. Efektyvus šaudymo nuotolis</w:t>
            </w:r>
          </w:p>
        </w:tc>
        <w:tc>
          <w:tcPr>
            <w:tcW w:w="2365" w:type="dxa"/>
            <w:gridSpan w:val="2"/>
            <w:vAlign w:val="center"/>
          </w:tcPr>
          <w:p w14:paraId="0400EADF" w14:textId="08C575DB" w:rsidR="00D5319A" w:rsidRPr="007F2C51" w:rsidRDefault="00D5319A" w:rsidP="00D53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 40 i</w:t>
            </w:r>
            <w:r w:rsidRPr="007427A6">
              <w:rPr>
                <w:rFonts w:ascii="Times New Roman" w:hAnsi="Times New Roman" w:cs="Times New Roman"/>
                <w:sz w:val="24"/>
                <w:szCs w:val="24"/>
              </w:rPr>
              <w:t xml:space="preserve">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27A6">
              <w:rPr>
                <w:rFonts w:ascii="Times New Roman" w:hAnsi="Times New Roman" w:cs="Times New Roman"/>
                <w:sz w:val="24"/>
                <w:szCs w:val="24"/>
              </w:rPr>
              <w:t>0 m.</w:t>
            </w:r>
          </w:p>
        </w:tc>
      </w:tr>
      <w:tr w:rsidR="00D5319A" w14:paraId="21B5D4DB" w14:textId="77777777" w:rsidTr="004F0E8D">
        <w:tc>
          <w:tcPr>
            <w:tcW w:w="2814" w:type="dxa"/>
            <w:vAlign w:val="center"/>
          </w:tcPr>
          <w:p w14:paraId="21B5D4D6" w14:textId="64BEE248" w:rsidR="00D5319A" w:rsidRPr="00AD37F3" w:rsidRDefault="00D5319A" w:rsidP="00D53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F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D37F3">
              <w:rPr>
                <w:rFonts w:ascii="Times New Roman" w:hAnsi="Times New Roman" w:cs="Times New Roman"/>
                <w:sz w:val="24"/>
                <w:szCs w:val="24"/>
              </w:rPr>
              <w:t>. Shelf life</w:t>
            </w:r>
          </w:p>
        </w:tc>
        <w:tc>
          <w:tcPr>
            <w:tcW w:w="2270" w:type="dxa"/>
            <w:vAlign w:val="center"/>
          </w:tcPr>
          <w:p w14:paraId="21B5D4D7" w14:textId="58AA5C45" w:rsidR="00D5319A" w:rsidRPr="00AD37F3" w:rsidRDefault="00D5319A" w:rsidP="00D53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F3">
              <w:rPr>
                <w:rFonts w:ascii="Times New Roman" w:hAnsi="Times New Roman" w:cs="Times New Roman"/>
                <w:sz w:val="24"/>
                <w:szCs w:val="24"/>
              </w:rPr>
              <w:t>Not less than 5 years</w:t>
            </w:r>
          </w:p>
        </w:tc>
        <w:tc>
          <w:tcPr>
            <w:tcW w:w="2404" w:type="dxa"/>
            <w:vAlign w:val="center"/>
          </w:tcPr>
          <w:p w14:paraId="21B5D4D8" w14:textId="2CDA896B" w:rsidR="00D5319A" w:rsidRPr="00AD37F3" w:rsidRDefault="00D5319A" w:rsidP="00D53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  <w:r w:rsidRPr="007F2C51">
              <w:rPr>
                <w:rFonts w:ascii="Times New Roman" w:hAnsi="Times New Roman" w:cs="Times New Roman"/>
                <w:sz w:val="24"/>
                <w:szCs w:val="24"/>
              </w:rPr>
              <w:t>. Tinkamumo naudoti terminas</w:t>
            </w:r>
          </w:p>
        </w:tc>
        <w:tc>
          <w:tcPr>
            <w:tcW w:w="2365" w:type="dxa"/>
            <w:gridSpan w:val="2"/>
            <w:vAlign w:val="center"/>
          </w:tcPr>
          <w:p w14:paraId="21B5D4D9" w14:textId="77777777" w:rsidR="00D5319A" w:rsidRPr="007F2C51" w:rsidRDefault="00D5319A" w:rsidP="00D53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C51">
              <w:rPr>
                <w:rFonts w:ascii="Times New Roman" w:hAnsi="Times New Roman" w:cs="Times New Roman"/>
                <w:sz w:val="24"/>
                <w:szCs w:val="24"/>
              </w:rPr>
              <w:t>Ne mažiau kaip</w:t>
            </w:r>
          </w:p>
          <w:p w14:paraId="21B5D4DA" w14:textId="15734584" w:rsidR="00D5319A" w:rsidRPr="0063752A" w:rsidRDefault="00D5319A" w:rsidP="00D53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2C51">
              <w:rPr>
                <w:rFonts w:ascii="Times New Roman" w:hAnsi="Times New Roman" w:cs="Times New Roman"/>
                <w:sz w:val="24"/>
                <w:szCs w:val="24"/>
              </w:rPr>
              <w:t xml:space="preserve"> metų</w:t>
            </w:r>
          </w:p>
        </w:tc>
      </w:tr>
      <w:tr w:rsidR="00D5319A" w14:paraId="21B5D4E0" w14:textId="77777777" w:rsidTr="002970EF">
        <w:tc>
          <w:tcPr>
            <w:tcW w:w="2814" w:type="dxa"/>
            <w:tcBorders>
              <w:bottom w:val="single" w:sz="4" w:space="0" w:color="auto"/>
            </w:tcBorders>
            <w:vAlign w:val="center"/>
          </w:tcPr>
          <w:p w14:paraId="21B5D4DC" w14:textId="533A1D99" w:rsidR="00D5319A" w:rsidRPr="00AD37F3" w:rsidRDefault="00D5319A" w:rsidP="00D53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F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D37F3">
              <w:rPr>
                <w:rFonts w:ascii="Times New Roman" w:hAnsi="Times New Roman" w:cs="Times New Roman"/>
                <w:sz w:val="24"/>
                <w:szCs w:val="24"/>
              </w:rPr>
              <w:t>. Qualification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vAlign w:val="center"/>
          </w:tcPr>
          <w:p w14:paraId="21B5D4DD" w14:textId="72B291D2" w:rsidR="00D5319A" w:rsidRPr="00AD37F3" w:rsidRDefault="00D5319A" w:rsidP="00D53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63">
              <w:rPr>
                <w:rFonts w:ascii="Times New Roman" w:hAnsi="Times New Roman" w:cs="Times New Roman"/>
                <w:sz w:val="24"/>
                <w:szCs w:val="24"/>
              </w:rPr>
              <w:t>The manufacturer must be certified according to ISO 9001 (provide documents proving this).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vAlign w:val="center"/>
          </w:tcPr>
          <w:p w14:paraId="21B5D4DE" w14:textId="54F56279" w:rsidR="00D5319A" w:rsidRPr="007F43E6" w:rsidRDefault="00D5319A" w:rsidP="00D53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  <w:r w:rsidRPr="007F43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F2C51">
              <w:rPr>
                <w:rFonts w:ascii="Times New Roman" w:hAnsi="Times New Roman" w:cs="Times New Roman"/>
                <w:sz w:val="24"/>
                <w:szCs w:val="24"/>
              </w:rPr>
              <w:t>Kvalifikacija</w:t>
            </w:r>
          </w:p>
        </w:tc>
        <w:tc>
          <w:tcPr>
            <w:tcW w:w="2365" w:type="dxa"/>
            <w:gridSpan w:val="2"/>
            <w:tcBorders>
              <w:bottom w:val="single" w:sz="4" w:space="0" w:color="auto"/>
            </w:tcBorders>
          </w:tcPr>
          <w:p w14:paraId="214AF53B" w14:textId="2338053E" w:rsidR="00D5319A" w:rsidRPr="00DC2608" w:rsidRDefault="00D5319A" w:rsidP="00D53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C2608">
              <w:rPr>
                <w:rFonts w:ascii="Times New Roman" w:hAnsi="Times New Roman" w:cs="Times New Roman"/>
                <w:sz w:val="24"/>
                <w:szCs w:val="24"/>
              </w:rPr>
              <w:t xml:space="preserve">amintojas turi būti sertifikuotas pagal ISO 9001 (pateikti tai įrodančius dokumentus). </w:t>
            </w:r>
          </w:p>
          <w:p w14:paraId="21B5D4DF" w14:textId="5C06DD13" w:rsidR="00D5319A" w:rsidRPr="007F43E6" w:rsidRDefault="00D5319A" w:rsidP="00D53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19A" w:rsidRPr="00BB4AFF" w14:paraId="6D0523FE" w14:textId="77777777" w:rsidTr="002970EF">
        <w:trPr>
          <w:trHeight w:val="461"/>
        </w:trPr>
        <w:tc>
          <w:tcPr>
            <w:tcW w:w="5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B5E309" w14:textId="2E0B3C2F" w:rsidR="00D5319A" w:rsidRDefault="00D5319A" w:rsidP="00D5319A">
            <w:pPr>
              <w:spacing w:before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sv-SE"/>
              </w:rPr>
              <w:lastRenderedPageBreak/>
              <w:t>4. Documentation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D37390" w14:textId="5A90665A" w:rsidR="00D5319A" w:rsidRDefault="00D5319A" w:rsidP="00D5319A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v-SE"/>
              </w:rPr>
              <w:t>4. Dokumentacija</w:t>
            </w:r>
          </w:p>
        </w:tc>
      </w:tr>
      <w:tr w:rsidR="00D5319A" w:rsidRPr="007F2C51" w14:paraId="33E73404" w14:textId="77777777" w:rsidTr="00994FAE">
        <w:trPr>
          <w:trHeight w:val="395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A28F" w14:textId="77777777" w:rsidR="00D5319A" w:rsidRPr="00B431FE" w:rsidRDefault="00D5319A" w:rsidP="00D531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sv-SE"/>
              </w:rPr>
            </w:pPr>
            <w:r w:rsidRPr="00B431FE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 xml:space="preserve">4.1. </w:t>
            </w:r>
            <w:r w:rsidRPr="00B431F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sv-SE"/>
              </w:rPr>
              <w:t>Documentation with proposal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EA31" w14:textId="23236339" w:rsidR="00D5319A" w:rsidRPr="00B431FE" w:rsidRDefault="00D5319A" w:rsidP="00D531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v-SE"/>
              </w:rPr>
            </w:pPr>
            <w:r w:rsidRPr="00B431F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v-SE"/>
              </w:rPr>
              <w:t>4.1. Dokumentacija su pasiūlymu</w:t>
            </w:r>
          </w:p>
        </w:tc>
      </w:tr>
      <w:tr w:rsidR="00D5319A" w:rsidRPr="006B2732" w14:paraId="5BCA825D" w14:textId="77777777" w:rsidTr="001250C9">
        <w:trPr>
          <w:trHeight w:val="1490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BBD9B" w14:textId="77777777" w:rsidR="00D5319A" w:rsidRPr="00974B06" w:rsidRDefault="00D5319A" w:rsidP="00D531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6B27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4.1.1. With the proposal, the Cont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r</w:t>
            </w:r>
            <w:r w:rsidRPr="006B27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actor must supply the following documentation:</w:t>
            </w:r>
          </w:p>
          <w:p w14:paraId="7EB5A23F" w14:textId="77777777" w:rsidR="00D5319A" w:rsidRDefault="00D5319A" w:rsidP="00D5319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77B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4.1.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1.1.</w:t>
            </w:r>
            <w:r w:rsidRPr="00677B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Technical specification for the ammunition;</w:t>
            </w:r>
          </w:p>
          <w:p w14:paraId="37C69F0A" w14:textId="49CF542F" w:rsidR="00D5319A" w:rsidRDefault="00D5319A" w:rsidP="00D5319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4.1.1.2. NSN if available;</w:t>
            </w:r>
          </w:p>
          <w:p w14:paraId="2A383E18" w14:textId="2088D506" w:rsidR="00D5319A" w:rsidRPr="00974B06" w:rsidRDefault="00D5319A" w:rsidP="00D531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E92AC" w14:textId="77777777" w:rsidR="00D5319A" w:rsidRPr="007F2C51" w:rsidRDefault="00D5319A" w:rsidP="00D53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F2C5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4.1.1. Pateikdamas pasiūlymą tiekėjas turi pateikti šiuos dokumentus: </w:t>
            </w:r>
          </w:p>
          <w:p w14:paraId="1FADB1BE" w14:textId="77777777" w:rsidR="00D5319A" w:rsidRPr="007F2C51" w:rsidRDefault="00D5319A" w:rsidP="00D5319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F2C5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4.1.1.1. Šaudmenų techninę specifikaciją;</w:t>
            </w:r>
          </w:p>
          <w:p w14:paraId="44168238" w14:textId="26543B6A" w:rsidR="00D5319A" w:rsidRPr="007F2C51" w:rsidRDefault="00D5319A" w:rsidP="00D5319A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4.1.1.2</w:t>
            </w:r>
            <w:r w:rsidRPr="007F2C5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</w:t>
            </w:r>
            <w:r w:rsidRPr="007F2C51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t xml:space="preserve"> </w:t>
            </w:r>
            <w:r w:rsidRPr="007F2C5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NSN kodą (jeigu suteiktas);</w:t>
            </w:r>
          </w:p>
          <w:p w14:paraId="4D80A86F" w14:textId="12ABCDD8" w:rsidR="00D5319A" w:rsidRPr="007F2C51" w:rsidRDefault="00D5319A" w:rsidP="00D531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D5319A" w:rsidRPr="00974B06" w14:paraId="44CFB7F0" w14:textId="77777777" w:rsidTr="00994FAE">
        <w:trPr>
          <w:trHeight w:val="397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7979" w14:textId="23B2388B" w:rsidR="00D5319A" w:rsidRPr="002970EF" w:rsidRDefault="00D5319A" w:rsidP="00D531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sv-SE"/>
              </w:rPr>
            </w:pPr>
            <w:r w:rsidRPr="002970EF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4.2.</w:t>
            </w:r>
            <w:r w:rsidRPr="002970E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sv-SE"/>
              </w:rPr>
              <w:t xml:space="preserve"> Documentation with delivery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C94F" w14:textId="77777777" w:rsidR="00D5319A" w:rsidRPr="002970EF" w:rsidRDefault="00D5319A" w:rsidP="00D531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v-SE"/>
              </w:rPr>
            </w:pPr>
            <w:r w:rsidRPr="002970E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v-SE"/>
              </w:rPr>
              <w:t>4.2. Dokumentacija su pristatymu</w:t>
            </w:r>
          </w:p>
        </w:tc>
      </w:tr>
      <w:tr w:rsidR="00D5319A" w14:paraId="76579DDB" w14:textId="77777777" w:rsidTr="001250C9">
        <w:trPr>
          <w:trHeight w:val="1831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CD11" w14:textId="77777777" w:rsidR="00D5319A" w:rsidRDefault="00D5319A" w:rsidP="00D5319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4.2.1.</w:t>
            </w:r>
            <w:r w:rsidRPr="006B27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With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each (partial) delivery of ammunition</w:t>
            </w:r>
            <w:r w:rsidRPr="006B27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, the Cont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r</w:t>
            </w:r>
            <w:r w:rsidRPr="006B27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actor must supply the following documentation:</w:t>
            </w:r>
          </w:p>
          <w:p w14:paraId="6FD03CAA" w14:textId="46E58A8F" w:rsidR="00D5319A" w:rsidRDefault="00D5319A" w:rsidP="00D531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4.2.1.1. Certificate of Conformity.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88C8" w14:textId="77777777" w:rsidR="00D5319A" w:rsidRDefault="00D5319A" w:rsidP="00D53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4.2.1. </w:t>
            </w:r>
            <w:r w:rsidRPr="006B273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ristatydamas gaminį</w:t>
            </w:r>
            <w:r w:rsidRPr="006B273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r w:rsidRPr="007F2C5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</w:t>
            </w:r>
            <w:r w:rsidRPr="005E046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iekėjas</w:t>
            </w:r>
            <w:r w:rsidRPr="006B273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turi pateikti šiuos </w:t>
            </w:r>
            <w:r w:rsidRPr="00B431F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dokumentus: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</w:p>
          <w:p w14:paraId="22B434BB" w14:textId="03D62B53" w:rsidR="00D5319A" w:rsidRDefault="00D5319A" w:rsidP="00D53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4.2.1.1.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Atitikties sertifikatą.</w:t>
            </w:r>
          </w:p>
        </w:tc>
      </w:tr>
      <w:tr w:rsidR="00D5319A" w:rsidRPr="006B2732" w14:paraId="79A8DF70" w14:textId="77777777" w:rsidTr="002970EF">
        <w:trPr>
          <w:trHeight w:val="589"/>
        </w:trPr>
        <w:tc>
          <w:tcPr>
            <w:tcW w:w="5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67C44" w14:textId="5A9C78A7" w:rsidR="00D5319A" w:rsidRPr="00B431FE" w:rsidRDefault="00D5319A" w:rsidP="00D5319A">
            <w:pPr>
              <w:tabs>
                <w:tab w:val="left" w:pos="709"/>
              </w:tabs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431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5. Warranty 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2A3E68" w14:textId="245FF7B3" w:rsidR="00D5319A" w:rsidRPr="00B431FE" w:rsidRDefault="00D5319A" w:rsidP="00D5319A">
            <w:pPr>
              <w:tabs>
                <w:tab w:val="left" w:pos="1296"/>
                <w:tab w:val="center" w:pos="4589"/>
              </w:tabs>
              <w:spacing w:before="240" w:line="276" w:lineRule="auto"/>
              <w:ind w:right="459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1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 Garantija</w:t>
            </w:r>
          </w:p>
        </w:tc>
      </w:tr>
      <w:tr w:rsidR="00D5319A" w:rsidRPr="006B2732" w14:paraId="6D1BD847" w14:textId="77777777" w:rsidTr="0082209A">
        <w:trPr>
          <w:trHeight w:val="1953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8504" w14:textId="77777777" w:rsidR="00D5319A" w:rsidRDefault="00D5319A" w:rsidP="00D5319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B9C64A2" w14:textId="02C0E0BE" w:rsidR="00D5319A" w:rsidRPr="00994FAE" w:rsidRDefault="00D5319A" w:rsidP="00D5319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5.1. The Contractor shall guarantee the items delivered under the contract are against all defects of design, materials and/or workmanship, and ensure appropriate functioning of items for a period of not less than 5 (five) years following the inspection report signing day.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15CF" w14:textId="77777777" w:rsidR="00D5319A" w:rsidRDefault="00D5319A" w:rsidP="00D53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D895F" w14:textId="327A7380" w:rsidR="00D5319A" w:rsidRPr="007F2C51" w:rsidRDefault="00D5319A" w:rsidP="00D5319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5.1. </w:t>
            </w:r>
            <w:r w:rsidRPr="00394335">
              <w:rPr>
                <w:rFonts w:ascii="Times New Roman" w:hAnsi="Times New Roman" w:cs="Times New Roman"/>
                <w:sz w:val="24"/>
                <w:szCs w:val="24"/>
              </w:rPr>
              <w:t>Tiekėjas privalo užtikrinti, kad pristatytas gaminys atitinka sutarties reikalavimus ir nėra gaminio gamybos, žaliavų ir (arba) atlikto darbo kokybės neatitikimų, taip pat tinkamą gaminio fun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kcionavimą ne mažiau kaip penkerius</w:t>
            </w:r>
            <w:r w:rsidRPr="00394335">
              <w:rPr>
                <w:rFonts w:ascii="Times New Roman" w:hAnsi="Times New Roman" w:cs="Times New Roman"/>
                <w:sz w:val="24"/>
                <w:szCs w:val="24"/>
              </w:rPr>
              <w:t xml:space="preserve"> metus nuo prekių patikrinimo akto pasirašymo dienos.</w:t>
            </w:r>
          </w:p>
        </w:tc>
      </w:tr>
    </w:tbl>
    <w:p w14:paraId="315F8EE4" w14:textId="092743D5" w:rsidR="004A0748" w:rsidRPr="00B25A3A" w:rsidRDefault="004A0748" w:rsidP="00B25A3A">
      <w:pPr>
        <w:rPr>
          <w:lang w:val="en-US"/>
        </w:rPr>
      </w:pPr>
    </w:p>
    <w:sectPr w:rsidR="004A0748" w:rsidRPr="00B25A3A" w:rsidSect="007F2C51">
      <w:headerReference w:type="default" r:id="rId10"/>
      <w:pgSz w:w="11906" w:h="16838"/>
      <w:pgMar w:top="1134" w:right="567" w:bottom="1134" w:left="1701" w:header="567" w:footer="323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D1530" w14:textId="77777777" w:rsidR="009A1E9E" w:rsidRDefault="009A1E9E" w:rsidP="00D0146B">
      <w:pPr>
        <w:spacing w:after="0" w:line="240" w:lineRule="auto"/>
      </w:pPr>
      <w:r>
        <w:separator/>
      </w:r>
    </w:p>
  </w:endnote>
  <w:endnote w:type="continuationSeparator" w:id="0">
    <w:p w14:paraId="69F033E7" w14:textId="77777777" w:rsidR="009A1E9E" w:rsidRDefault="009A1E9E" w:rsidP="00D01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istika">
    <w:charset w:val="BA"/>
    <w:family w:val="roman"/>
    <w:pitch w:val="variable"/>
    <w:sig w:usb0="A00002FF" w:usb1="500078F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1C6F1" w14:textId="77777777" w:rsidR="009A1E9E" w:rsidRDefault="009A1E9E" w:rsidP="00D0146B">
      <w:pPr>
        <w:spacing w:after="0" w:line="240" w:lineRule="auto"/>
      </w:pPr>
      <w:r>
        <w:separator/>
      </w:r>
    </w:p>
  </w:footnote>
  <w:footnote w:type="continuationSeparator" w:id="0">
    <w:p w14:paraId="02EDA9FF" w14:textId="77777777" w:rsidR="009A1E9E" w:rsidRDefault="009A1E9E" w:rsidP="00D01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0441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BC42936" w14:textId="25C8B5AE" w:rsidR="00E96633" w:rsidRPr="002E1A1F" w:rsidRDefault="00E96633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E1A1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E1A1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E1A1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4FE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E1A1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EC7762F" w14:textId="77777777" w:rsidR="00E96633" w:rsidRDefault="00E966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26A33"/>
    <w:multiLevelType w:val="multilevel"/>
    <w:tmpl w:val="6F70AE70"/>
    <w:lvl w:ilvl="0">
      <w:start w:val="1"/>
      <w:numFmt w:val="decimal"/>
      <w:pStyle w:val="StyleStyle1Left0cmFirstline0cm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2"/>
      <w:numFmt w:val="decimal"/>
      <w:lvlText w:val="%1.%2.%3.1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2"/>
      <w:numFmt w:val="decimal"/>
      <w:lvlText w:val="%1.%2.%3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EFB47BF"/>
    <w:multiLevelType w:val="multilevel"/>
    <w:tmpl w:val="8278B0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3BC27CE"/>
    <w:multiLevelType w:val="multilevel"/>
    <w:tmpl w:val="A5BA7E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E300B0A"/>
    <w:multiLevelType w:val="hybridMultilevel"/>
    <w:tmpl w:val="AC3E58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745EF"/>
    <w:multiLevelType w:val="multilevel"/>
    <w:tmpl w:val="1D744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CAE0ADF"/>
    <w:multiLevelType w:val="multilevel"/>
    <w:tmpl w:val="95E4C9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B0"/>
    <w:rsid w:val="00013975"/>
    <w:rsid w:val="00022F5A"/>
    <w:rsid w:val="00023836"/>
    <w:rsid w:val="00031127"/>
    <w:rsid w:val="0003542A"/>
    <w:rsid w:val="00037D4D"/>
    <w:rsid w:val="00042754"/>
    <w:rsid w:val="00043045"/>
    <w:rsid w:val="00064BE1"/>
    <w:rsid w:val="00090A98"/>
    <w:rsid w:val="00097A5D"/>
    <w:rsid w:val="000C2590"/>
    <w:rsid w:val="000D458A"/>
    <w:rsid w:val="000F7785"/>
    <w:rsid w:val="00102BA1"/>
    <w:rsid w:val="00104F0D"/>
    <w:rsid w:val="001137AF"/>
    <w:rsid w:val="00114CFF"/>
    <w:rsid w:val="00124FB9"/>
    <w:rsid w:val="001250C9"/>
    <w:rsid w:val="001321B7"/>
    <w:rsid w:val="00136C72"/>
    <w:rsid w:val="00141999"/>
    <w:rsid w:val="0014292F"/>
    <w:rsid w:val="00160C02"/>
    <w:rsid w:val="00162562"/>
    <w:rsid w:val="00165531"/>
    <w:rsid w:val="00177608"/>
    <w:rsid w:val="001852E2"/>
    <w:rsid w:val="001938A1"/>
    <w:rsid w:val="001941CD"/>
    <w:rsid w:val="00194FE5"/>
    <w:rsid w:val="001A5F3E"/>
    <w:rsid w:val="001D5F6A"/>
    <w:rsid w:val="001E2AC2"/>
    <w:rsid w:val="001F7B9A"/>
    <w:rsid w:val="00202193"/>
    <w:rsid w:val="00204169"/>
    <w:rsid w:val="00210EC6"/>
    <w:rsid w:val="00214E17"/>
    <w:rsid w:val="00214F8D"/>
    <w:rsid w:val="002153BE"/>
    <w:rsid w:val="002227DA"/>
    <w:rsid w:val="002333B6"/>
    <w:rsid w:val="0024518D"/>
    <w:rsid w:val="0024799D"/>
    <w:rsid w:val="00271255"/>
    <w:rsid w:val="00281BB5"/>
    <w:rsid w:val="002970EF"/>
    <w:rsid w:val="002A5CE9"/>
    <w:rsid w:val="002B1C8C"/>
    <w:rsid w:val="002B3C9E"/>
    <w:rsid w:val="002B40EE"/>
    <w:rsid w:val="002C40E4"/>
    <w:rsid w:val="002D363C"/>
    <w:rsid w:val="002D6D81"/>
    <w:rsid w:val="002E1A1F"/>
    <w:rsid w:val="002E5A11"/>
    <w:rsid w:val="002F41A8"/>
    <w:rsid w:val="003032B7"/>
    <w:rsid w:val="00307D0D"/>
    <w:rsid w:val="003226A7"/>
    <w:rsid w:val="003601B5"/>
    <w:rsid w:val="003641FB"/>
    <w:rsid w:val="00367A09"/>
    <w:rsid w:val="00370ED3"/>
    <w:rsid w:val="00380FF9"/>
    <w:rsid w:val="0038165A"/>
    <w:rsid w:val="00382A21"/>
    <w:rsid w:val="00387295"/>
    <w:rsid w:val="00394335"/>
    <w:rsid w:val="003A65A1"/>
    <w:rsid w:val="003C1808"/>
    <w:rsid w:val="003C227A"/>
    <w:rsid w:val="003C5F77"/>
    <w:rsid w:val="003E4614"/>
    <w:rsid w:val="003E529B"/>
    <w:rsid w:val="003F075B"/>
    <w:rsid w:val="004040D0"/>
    <w:rsid w:val="00405ACA"/>
    <w:rsid w:val="00406DA8"/>
    <w:rsid w:val="004149C3"/>
    <w:rsid w:val="004255D8"/>
    <w:rsid w:val="00472A13"/>
    <w:rsid w:val="00486846"/>
    <w:rsid w:val="004962D4"/>
    <w:rsid w:val="004A0748"/>
    <w:rsid w:val="004B28F9"/>
    <w:rsid w:val="004B4914"/>
    <w:rsid w:val="004B65EE"/>
    <w:rsid w:val="004B6FBC"/>
    <w:rsid w:val="004C6C68"/>
    <w:rsid w:val="004D331C"/>
    <w:rsid w:val="004D652E"/>
    <w:rsid w:val="004E72E7"/>
    <w:rsid w:val="004F0A48"/>
    <w:rsid w:val="004F0E8D"/>
    <w:rsid w:val="004F34A9"/>
    <w:rsid w:val="00502B0A"/>
    <w:rsid w:val="005053C1"/>
    <w:rsid w:val="00505744"/>
    <w:rsid w:val="00524E07"/>
    <w:rsid w:val="005350BF"/>
    <w:rsid w:val="00551E3F"/>
    <w:rsid w:val="0056227D"/>
    <w:rsid w:val="00567A2F"/>
    <w:rsid w:val="005A60BD"/>
    <w:rsid w:val="005B2773"/>
    <w:rsid w:val="005D52AB"/>
    <w:rsid w:val="005E046E"/>
    <w:rsid w:val="005F1F63"/>
    <w:rsid w:val="005F5B17"/>
    <w:rsid w:val="006045E3"/>
    <w:rsid w:val="006072C8"/>
    <w:rsid w:val="006148A0"/>
    <w:rsid w:val="00620190"/>
    <w:rsid w:val="00620FA6"/>
    <w:rsid w:val="00632D5B"/>
    <w:rsid w:val="0063752A"/>
    <w:rsid w:val="00657B15"/>
    <w:rsid w:val="00664402"/>
    <w:rsid w:val="006715DD"/>
    <w:rsid w:val="006746D3"/>
    <w:rsid w:val="00675AB6"/>
    <w:rsid w:val="006772B0"/>
    <w:rsid w:val="00677B16"/>
    <w:rsid w:val="0068318D"/>
    <w:rsid w:val="006841BC"/>
    <w:rsid w:val="00690785"/>
    <w:rsid w:val="00693A1B"/>
    <w:rsid w:val="006941A8"/>
    <w:rsid w:val="006B292B"/>
    <w:rsid w:val="006C6178"/>
    <w:rsid w:val="006D3CC3"/>
    <w:rsid w:val="006E2C1A"/>
    <w:rsid w:val="006E2C26"/>
    <w:rsid w:val="0070317B"/>
    <w:rsid w:val="00717DA0"/>
    <w:rsid w:val="00741816"/>
    <w:rsid w:val="00767C10"/>
    <w:rsid w:val="007B3D7A"/>
    <w:rsid w:val="007C3E7F"/>
    <w:rsid w:val="007D0768"/>
    <w:rsid w:val="007F2C51"/>
    <w:rsid w:val="007F43E6"/>
    <w:rsid w:val="00806D5D"/>
    <w:rsid w:val="0082209A"/>
    <w:rsid w:val="008248C8"/>
    <w:rsid w:val="00826756"/>
    <w:rsid w:val="00831FD5"/>
    <w:rsid w:val="008412ED"/>
    <w:rsid w:val="00854264"/>
    <w:rsid w:val="00884206"/>
    <w:rsid w:val="008925EE"/>
    <w:rsid w:val="00897DAB"/>
    <w:rsid w:val="008A48E0"/>
    <w:rsid w:val="008B2723"/>
    <w:rsid w:val="008E432C"/>
    <w:rsid w:val="008F4C3A"/>
    <w:rsid w:val="00912B1E"/>
    <w:rsid w:val="0092004E"/>
    <w:rsid w:val="00925900"/>
    <w:rsid w:val="00936C14"/>
    <w:rsid w:val="00937D68"/>
    <w:rsid w:val="00940258"/>
    <w:rsid w:val="009713EA"/>
    <w:rsid w:val="009772A6"/>
    <w:rsid w:val="00977CBE"/>
    <w:rsid w:val="00981AFC"/>
    <w:rsid w:val="00984E7D"/>
    <w:rsid w:val="00994FAE"/>
    <w:rsid w:val="009A1E9E"/>
    <w:rsid w:val="009D63C8"/>
    <w:rsid w:val="009D7CE9"/>
    <w:rsid w:val="009E250F"/>
    <w:rsid w:val="009E79F6"/>
    <w:rsid w:val="009F5562"/>
    <w:rsid w:val="00A029AC"/>
    <w:rsid w:val="00A1221A"/>
    <w:rsid w:val="00A233D5"/>
    <w:rsid w:val="00A24117"/>
    <w:rsid w:val="00A355E3"/>
    <w:rsid w:val="00A43243"/>
    <w:rsid w:val="00A467E5"/>
    <w:rsid w:val="00A46E68"/>
    <w:rsid w:val="00A514AC"/>
    <w:rsid w:val="00A54031"/>
    <w:rsid w:val="00A84F14"/>
    <w:rsid w:val="00A85817"/>
    <w:rsid w:val="00A94939"/>
    <w:rsid w:val="00A97317"/>
    <w:rsid w:val="00AB54DC"/>
    <w:rsid w:val="00AC1AC7"/>
    <w:rsid w:val="00AC4A63"/>
    <w:rsid w:val="00AC4EDA"/>
    <w:rsid w:val="00AD37F3"/>
    <w:rsid w:val="00AF392E"/>
    <w:rsid w:val="00B11B00"/>
    <w:rsid w:val="00B126A4"/>
    <w:rsid w:val="00B25A3A"/>
    <w:rsid w:val="00B3794D"/>
    <w:rsid w:val="00B431FE"/>
    <w:rsid w:val="00B46C65"/>
    <w:rsid w:val="00B473C0"/>
    <w:rsid w:val="00B507FE"/>
    <w:rsid w:val="00B6573D"/>
    <w:rsid w:val="00B8322F"/>
    <w:rsid w:val="00BB3A01"/>
    <w:rsid w:val="00BC6178"/>
    <w:rsid w:val="00BC67AD"/>
    <w:rsid w:val="00BC7F76"/>
    <w:rsid w:val="00BD024B"/>
    <w:rsid w:val="00BD1632"/>
    <w:rsid w:val="00BD2869"/>
    <w:rsid w:val="00BE7974"/>
    <w:rsid w:val="00C035A5"/>
    <w:rsid w:val="00C22F73"/>
    <w:rsid w:val="00C2686E"/>
    <w:rsid w:val="00C4123A"/>
    <w:rsid w:val="00C42F08"/>
    <w:rsid w:val="00C74141"/>
    <w:rsid w:val="00C82BE3"/>
    <w:rsid w:val="00CA6F42"/>
    <w:rsid w:val="00CA7930"/>
    <w:rsid w:val="00CB671C"/>
    <w:rsid w:val="00CD516A"/>
    <w:rsid w:val="00CD5CCE"/>
    <w:rsid w:val="00CE4AB2"/>
    <w:rsid w:val="00CF2370"/>
    <w:rsid w:val="00CF53EA"/>
    <w:rsid w:val="00CF650D"/>
    <w:rsid w:val="00D0146B"/>
    <w:rsid w:val="00D162CA"/>
    <w:rsid w:val="00D41CE1"/>
    <w:rsid w:val="00D5319A"/>
    <w:rsid w:val="00D54103"/>
    <w:rsid w:val="00D60281"/>
    <w:rsid w:val="00D83093"/>
    <w:rsid w:val="00DA3DDE"/>
    <w:rsid w:val="00DB2F76"/>
    <w:rsid w:val="00DB5D52"/>
    <w:rsid w:val="00DC2608"/>
    <w:rsid w:val="00DC7ECB"/>
    <w:rsid w:val="00DE09B8"/>
    <w:rsid w:val="00DE7692"/>
    <w:rsid w:val="00DF2179"/>
    <w:rsid w:val="00DF3D77"/>
    <w:rsid w:val="00E04D79"/>
    <w:rsid w:val="00E0708B"/>
    <w:rsid w:val="00E07E3D"/>
    <w:rsid w:val="00E14442"/>
    <w:rsid w:val="00E2567C"/>
    <w:rsid w:val="00E26015"/>
    <w:rsid w:val="00E3165A"/>
    <w:rsid w:val="00E402E1"/>
    <w:rsid w:val="00E40E63"/>
    <w:rsid w:val="00E50609"/>
    <w:rsid w:val="00E50C87"/>
    <w:rsid w:val="00E63614"/>
    <w:rsid w:val="00E66A10"/>
    <w:rsid w:val="00E72564"/>
    <w:rsid w:val="00E73CA1"/>
    <w:rsid w:val="00E9176F"/>
    <w:rsid w:val="00E96633"/>
    <w:rsid w:val="00ED4D0B"/>
    <w:rsid w:val="00EE3818"/>
    <w:rsid w:val="00EF411B"/>
    <w:rsid w:val="00EF74CE"/>
    <w:rsid w:val="00F03456"/>
    <w:rsid w:val="00F24EC6"/>
    <w:rsid w:val="00F430ED"/>
    <w:rsid w:val="00F54507"/>
    <w:rsid w:val="00F60CB6"/>
    <w:rsid w:val="00F6189A"/>
    <w:rsid w:val="00F85348"/>
    <w:rsid w:val="00F91AC4"/>
    <w:rsid w:val="00F932CC"/>
    <w:rsid w:val="00F966CF"/>
    <w:rsid w:val="00F97AD4"/>
    <w:rsid w:val="00FA1829"/>
    <w:rsid w:val="00FA42A9"/>
    <w:rsid w:val="00FA6522"/>
    <w:rsid w:val="00FB3E6B"/>
    <w:rsid w:val="00FB7F99"/>
    <w:rsid w:val="00FD44DC"/>
    <w:rsid w:val="00FF329B"/>
    <w:rsid w:val="00FF3E58"/>
    <w:rsid w:val="00F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B5D452"/>
  <w15:docId w15:val="{F4E147DF-622C-4166-A5E6-F89F990D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4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46B"/>
  </w:style>
  <w:style w:type="paragraph" w:styleId="Footer">
    <w:name w:val="footer"/>
    <w:basedOn w:val="Normal"/>
    <w:link w:val="FooterChar"/>
    <w:uiPriority w:val="99"/>
    <w:unhideWhenUsed/>
    <w:rsid w:val="00D014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46B"/>
  </w:style>
  <w:style w:type="character" w:styleId="LineNumber">
    <w:name w:val="line number"/>
    <w:basedOn w:val="DefaultParagraphFont"/>
    <w:uiPriority w:val="99"/>
    <w:semiHidden/>
    <w:unhideWhenUsed/>
    <w:rsid w:val="003E529B"/>
  </w:style>
  <w:style w:type="table" w:styleId="TableGrid">
    <w:name w:val="Table Grid"/>
    <w:basedOn w:val="TableNormal"/>
    <w:uiPriority w:val="59"/>
    <w:rsid w:val="003E5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1Left0cmFirstline0cm1">
    <w:name w:val="Style Style1 + Left:  0 cm First line:  0 cm1"/>
    <w:basedOn w:val="Normal"/>
    <w:rsid w:val="00984E7D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ltcm">
    <w:name w:val="ltcm"/>
    <w:basedOn w:val="DefaultParagraphFont"/>
    <w:rsid w:val="0063752A"/>
    <w:rPr>
      <w:rFonts w:ascii="Aistika" w:hAnsi="Aistika" w:hint="default"/>
      <w:i/>
      <w:iCs/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D02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2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24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24B"/>
    <w:rPr>
      <w:rFonts w:ascii="Tahoma" w:hAnsi="Tahoma" w:cs="Tahoma"/>
      <w:sz w:val="16"/>
      <w:szCs w:val="16"/>
    </w:rPr>
  </w:style>
  <w:style w:type="table" w:customStyle="1" w:styleId="Lentelstinklelis12">
    <w:name w:val="Lentelės tinklelis12"/>
    <w:basedOn w:val="TableNormal"/>
    <w:next w:val="TableGrid"/>
    <w:uiPriority w:val="59"/>
    <w:rsid w:val="00F2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F24EC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2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2C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62CA"/>
    <w:pPr>
      <w:spacing w:after="0" w:line="240" w:lineRule="auto"/>
    </w:pPr>
  </w:style>
  <w:style w:type="paragraph" w:styleId="BodyText">
    <w:name w:val="Body Text"/>
    <w:basedOn w:val="Normal"/>
    <w:link w:val="BodyTextChar"/>
    <w:semiHidden/>
    <w:unhideWhenUsed/>
    <w:rsid w:val="001137AF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1137AF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47CF88-2A0B-4A0E-8A12-573AC6C3E9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01092F-5F49-4617-B9CF-A8D021B4CF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4ECBF9-6204-468C-B36B-187ACE589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Evaldas09</cp:lastModifiedBy>
  <cp:revision>12</cp:revision>
  <cp:lastPrinted>2018-12-10T07:44:00Z</cp:lastPrinted>
  <dcterms:created xsi:type="dcterms:W3CDTF">2025-11-11T11:58:00Z</dcterms:created>
  <dcterms:modified xsi:type="dcterms:W3CDTF">2026-04-16T10:16:00Z</dcterms:modified>
</cp:coreProperties>
</file>