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1D894" w14:textId="77777777" w:rsidR="000D1F23" w:rsidRPr="00085EAE" w:rsidRDefault="000D1F23" w:rsidP="00935692">
      <w:pPr>
        <w:spacing w:line="240" w:lineRule="auto"/>
        <w:jc w:val="center"/>
        <w:rPr>
          <w:rFonts w:ascii="Tahoma" w:hAnsi="Tahoma" w:cs="Tahoma"/>
          <w:b/>
          <w:lang w:val="en-US"/>
        </w:rPr>
      </w:pPr>
    </w:p>
    <w:p w14:paraId="6B021778" w14:textId="40CF9F30" w:rsidR="002B7641" w:rsidRPr="00022768" w:rsidRDefault="00022768" w:rsidP="00935692">
      <w:pPr>
        <w:spacing w:line="240" w:lineRule="auto"/>
        <w:jc w:val="center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>VALSTYBINĖ AUGALININKYSTĖS TARNYBA PRIE ŽEMĖS ŪKIO MINISTERIJOS</w:t>
      </w:r>
    </w:p>
    <w:p w14:paraId="4A4B3B39" w14:textId="77777777" w:rsidR="0057677F" w:rsidRPr="00022768" w:rsidRDefault="0057677F" w:rsidP="00935692">
      <w:pPr>
        <w:spacing w:line="240" w:lineRule="auto"/>
        <w:jc w:val="center"/>
        <w:rPr>
          <w:rFonts w:cs="Times New Roman"/>
          <w:szCs w:val="24"/>
        </w:rPr>
      </w:pPr>
    </w:p>
    <w:p w14:paraId="432BD173" w14:textId="11960CDE" w:rsidR="0057677F" w:rsidRPr="00022768" w:rsidRDefault="00290149" w:rsidP="00290149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VALDYMO, OPTIMIZAVIMO IR MONITORINGO PROGRAMINĖS ĮRANGOS FOSS ĮRENGINIAMS (PRIETAISAMS „INFRATEC“) IQX ONE ARBA LYGIAVERTĖ METINĖ LICENCIJA, SKIRTA CENTRALIZUOTO ADMINISTRAVIMO IR DUOMENŲ VALDYMO VIENINGAME TINKLE PASLAUGOMS </w:t>
      </w:r>
      <w:r w:rsidR="00E063E2">
        <w:rPr>
          <w:rFonts w:cs="Times New Roman"/>
          <w:b/>
          <w:szCs w:val="24"/>
        </w:rPr>
        <w:t xml:space="preserve">PIRKIMO </w:t>
      </w:r>
      <w:r w:rsidR="004C089D" w:rsidRPr="00022768">
        <w:rPr>
          <w:rFonts w:cs="Times New Roman"/>
          <w:b/>
          <w:szCs w:val="24"/>
        </w:rPr>
        <w:t>RINKOS KONSULTACIJ</w:t>
      </w:r>
      <w:r w:rsidR="00935692" w:rsidRPr="00022768">
        <w:rPr>
          <w:rFonts w:cs="Times New Roman"/>
          <w:b/>
          <w:szCs w:val="24"/>
        </w:rPr>
        <w:t>A</w:t>
      </w:r>
    </w:p>
    <w:p w14:paraId="030EF728" w14:textId="77777777" w:rsidR="0057677F" w:rsidRPr="00022768" w:rsidRDefault="0057677F" w:rsidP="00935692">
      <w:pPr>
        <w:spacing w:line="240" w:lineRule="auto"/>
        <w:rPr>
          <w:rFonts w:cs="Times New Roman"/>
          <w:szCs w:val="24"/>
        </w:rPr>
      </w:pPr>
    </w:p>
    <w:p w14:paraId="702C6CDB" w14:textId="23C3FD9B" w:rsidR="0057677F" w:rsidRPr="00290149" w:rsidRDefault="003E6AFE" w:rsidP="00290149">
      <w:pPr>
        <w:spacing w:line="240" w:lineRule="auto"/>
        <w:ind w:firstLine="851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Valstybinė augalininkystės</w:t>
      </w:r>
      <w:r w:rsidR="004A416B" w:rsidRPr="00022768">
        <w:rPr>
          <w:rFonts w:cs="Times New Roman"/>
          <w:szCs w:val="24"/>
        </w:rPr>
        <w:t xml:space="preserve"> tarnyba</w:t>
      </w:r>
      <w:r w:rsidR="00D10F20" w:rsidRPr="000227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prie Žemės ūkio ministerijos </w:t>
      </w:r>
      <w:r w:rsidR="004B66E7" w:rsidRPr="00022768">
        <w:rPr>
          <w:rFonts w:cs="Times New Roman"/>
          <w:szCs w:val="24"/>
        </w:rPr>
        <w:t>(toliau – P</w:t>
      </w:r>
      <w:r w:rsidR="0057677F" w:rsidRPr="00022768">
        <w:rPr>
          <w:rFonts w:cs="Times New Roman"/>
          <w:szCs w:val="24"/>
        </w:rPr>
        <w:t>erkančioji organizacija), siekdama tinkamai pasire</w:t>
      </w:r>
      <w:r w:rsidR="00981FBE" w:rsidRPr="00022768">
        <w:rPr>
          <w:rFonts w:cs="Times New Roman"/>
          <w:szCs w:val="24"/>
        </w:rPr>
        <w:t xml:space="preserve">ngti numatomam </w:t>
      </w:r>
      <w:r w:rsidR="00290149">
        <w:rPr>
          <w:rFonts w:cs="Times New Roman"/>
          <w:szCs w:val="24"/>
        </w:rPr>
        <w:t>„</w:t>
      </w:r>
      <w:r w:rsidR="00290149" w:rsidRPr="00290149">
        <w:rPr>
          <w:rFonts w:cs="Times New Roman"/>
          <w:bCs/>
          <w:szCs w:val="24"/>
        </w:rPr>
        <w:t>Valdymo, optimizavimo ir monitoringo programinės įrangos FOSS įrenginiams (prietaisams „Infratec“) IQX One arba lygiavertė metinė licencija, skirta centralizuoto administravimo ir duomenų valdymo vieningame tinkle paslaugoms</w:t>
      </w:r>
      <w:r w:rsidR="00290149">
        <w:rPr>
          <w:rFonts w:cs="Times New Roman"/>
          <w:bCs/>
          <w:szCs w:val="24"/>
        </w:rPr>
        <w:t xml:space="preserve">“ </w:t>
      </w:r>
      <w:r w:rsidR="006A2BE8" w:rsidRPr="00022768">
        <w:rPr>
          <w:rFonts w:cs="Times New Roman"/>
          <w:szCs w:val="24"/>
        </w:rPr>
        <w:t>pirkimui (toliau – pirkimas)</w:t>
      </w:r>
      <w:r w:rsidR="004C089D" w:rsidRPr="00022768">
        <w:rPr>
          <w:rFonts w:cs="Times New Roman"/>
          <w:szCs w:val="24"/>
        </w:rPr>
        <w:t xml:space="preserve"> ir vadovaudamasi L</w:t>
      </w:r>
      <w:r w:rsidR="006A2BE8" w:rsidRPr="00022768">
        <w:rPr>
          <w:rFonts w:cs="Times New Roman"/>
          <w:szCs w:val="24"/>
        </w:rPr>
        <w:t>ietuvos Respublikos</w:t>
      </w:r>
      <w:r w:rsidR="004C089D" w:rsidRPr="00022768">
        <w:rPr>
          <w:rFonts w:cs="Times New Roman"/>
          <w:szCs w:val="24"/>
        </w:rPr>
        <w:t xml:space="preserve"> viešųjų pirkimų įstatymo (toliau – </w:t>
      </w:r>
      <w:r w:rsidR="00EA75D6" w:rsidRPr="00022768">
        <w:rPr>
          <w:rFonts w:cs="Times New Roman"/>
          <w:szCs w:val="24"/>
        </w:rPr>
        <w:t>VPĮ</w:t>
      </w:r>
      <w:r w:rsidR="004C089D" w:rsidRPr="00022768">
        <w:rPr>
          <w:rFonts w:cs="Times New Roman"/>
          <w:szCs w:val="24"/>
        </w:rPr>
        <w:t xml:space="preserve">) 27 straipsnio </w:t>
      </w:r>
      <w:r w:rsidR="0057677F" w:rsidRPr="00022768">
        <w:rPr>
          <w:rFonts w:cs="Times New Roman"/>
          <w:szCs w:val="24"/>
        </w:rPr>
        <w:t>nuostatomis, organizuoja rinkos dalyvių konsultaciją.</w:t>
      </w:r>
    </w:p>
    <w:p w14:paraId="7358F7A8" w14:textId="77777777" w:rsidR="0057677F" w:rsidRPr="00022768" w:rsidRDefault="00E92D0A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Rinkos konsultacija skelbiama iki pirkimo pradžios. Rinkos konsultacija nėra skelbimas apie pirkimą ar išankstinis skelbimas apie p</w:t>
      </w:r>
      <w:r w:rsidR="00D862AE" w:rsidRPr="00022768">
        <w:rPr>
          <w:rFonts w:cs="Times New Roman"/>
          <w:szCs w:val="24"/>
        </w:rPr>
        <w:t>irkimą. Šios r</w:t>
      </w:r>
      <w:r w:rsidRPr="00022768">
        <w:rPr>
          <w:rFonts w:cs="Times New Roman"/>
          <w:szCs w:val="24"/>
        </w:rPr>
        <w:t>inkos konsultacijos paskelbimu dalyviai nėra kviečiami varžytis dėl pirkimo sutarties.</w:t>
      </w:r>
    </w:p>
    <w:p w14:paraId="3721E0BE" w14:textId="73F5E259" w:rsidR="00E92D0A" w:rsidRPr="00022768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rFonts w:cs="Times New Roman"/>
          <w:color w:val="000000"/>
          <w:szCs w:val="24"/>
          <w:lang w:eastAsia="lt-LT"/>
        </w:rPr>
      </w:pPr>
      <w:r w:rsidRPr="0002276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022768">
        <w:rPr>
          <w:rFonts w:cs="Times New Roman"/>
          <w:color w:val="000000"/>
          <w:szCs w:val="24"/>
          <w:lang w:eastAsia="lt-LT"/>
        </w:rPr>
        <w:t xml:space="preserve">irkime. </w:t>
      </w:r>
      <w:r w:rsidRPr="00022768">
        <w:rPr>
          <w:rFonts w:cs="Times New Roman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3AF9666B" w14:textId="77777777" w:rsidR="004C1241" w:rsidRPr="00022768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rFonts w:cs="Times New Roman"/>
          <w:color w:val="000000"/>
          <w:szCs w:val="24"/>
          <w:lang w:eastAsia="lt-LT"/>
        </w:rPr>
      </w:pPr>
    </w:p>
    <w:p w14:paraId="29B7A47A" w14:textId="77777777" w:rsidR="0057677F" w:rsidRPr="00022768" w:rsidRDefault="00A128DA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 xml:space="preserve">1. </w:t>
      </w:r>
      <w:r w:rsidR="001F29B7" w:rsidRPr="00022768">
        <w:rPr>
          <w:rFonts w:cs="Times New Roman"/>
          <w:b/>
          <w:szCs w:val="24"/>
        </w:rPr>
        <w:t>Rinkos k</w:t>
      </w:r>
      <w:r w:rsidR="0057677F" w:rsidRPr="00022768">
        <w:rPr>
          <w:rFonts w:cs="Times New Roman"/>
          <w:b/>
          <w:szCs w:val="24"/>
        </w:rPr>
        <w:t>onsultacijos tikslas</w:t>
      </w:r>
    </w:p>
    <w:p w14:paraId="052DB2CB" w14:textId="79438922" w:rsidR="00612CD6" w:rsidRPr="00022768" w:rsidRDefault="000B4E41" w:rsidP="00935692">
      <w:pPr>
        <w:spacing w:line="240" w:lineRule="auto"/>
        <w:ind w:firstLine="851"/>
        <w:rPr>
          <w:rFonts w:cs="Times New Roman"/>
          <w:bCs/>
          <w:szCs w:val="24"/>
          <w:highlight w:val="lightGray"/>
        </w:rPr>
      </w:pPr>
      <w:r w:rsidRPr="00022768">
        <w:rPr>
          <w:rFonts w:cs="Times New Roman"/>
          <w:szCs w:val="24"/>
        </w:rPr>
        <w:t>Informuoti tiekėjus apie planuojamą pirkimą, išsiaiškinti įvairius su pirkimo objektu susijusius klausimus, pasiru</w:t>
      </w:r>
      <w:r w:rsidR="00240D24" w:rsidRPr="00022768">
        <w:rPr>
          <w:rFonts w:cs="Times New Roman"/>
          <w:szCs w:val="24"/>
        </w:rPr>
        <w:t>ošti pirkimui įvertina</w:t>
      </w:r>
      <w:r w:rsidR="0081134F" w:rsidRPr="00022768">
        <w:rPr>
          <w:rFonts w:cs="Times New Roman"/>
          <w:szCs w:val="24"/>
        </w:rPr>
        <w:t>n</w:t>
      </w:r>
      <w:r w:rsidR="00240D24" w:rsidRPr="00022768">
        <w:rPr>
          <w:rFonts w:cs="Times New Roman"/>
          <w:szCs w:val="24"/>
        </w:rPr>
        <w:t xml:space="preserve">t </w:t>
      </w:r>
      <w:r w:rsidR="00612CD6" w:rsidRPr="00022768">
        <w:rPr>
          <w:rFonts w:cs="Times New Roman"/>
          <w:szCs w:val="24"/>
        </w:rPr>
        <w:t>pateiktus dokumentus</w:t>
      </w:r>
      <w:r w:rsidR="00B323EC" w:rsidRPr="00022768">
        <w:rPr>
          <w:rFonts w:cs="Times New Roman"/>
          <w:szCs w:val="24"/>
        </w:rPr>
        <w:t>.</w:t>
      </w:r>
    </w:p>
    <w:p w14:paraId="253EC41A" w14:textId="77777777" w:rsidR="004C1241" w:rsidRPr="00022768" w:rsidRDefault="004C1241" w:rsidP="00935692">
      <w:pPr>
        <w:spacing w:line="240" w:lineRule="auto"/>
        <w:ind w:firstLine="851"/>
        <w:rPr>
          <w:rFonts w:cs="Times New Roman"/>
          <w:szCs w:val="24"/>
        </w:rPr>
      </w:pPr>
    </w:p>
    <w:p w14:paraId="4530BA63" w14:textId="77777777" w:rsidR="00A128DA" w:rsidRPr="00022768" w:rsidRDefault="00A128DA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 xml:space="preserve">2. </w:t>
      </w:r>
      <w:r w:rsidR="001F29B7" w:rsidRPr="00022768">
        <w:rPr>
          <w:rFonts w:cs="Times New Roman"/>
          <w:b/>
          <w:szCs w:val="24"/>
        </w:rPr>
        <w:t>Rinkos k</w:t>
      </w:r>
      <w:r w:rsidR="006D1E41" w:rsidRPr="00022768">
        <w:rPr>
          <w:rFonts w:cs="Times New Roman"/>
          <w:b/>
          <w:szCs w:val="24"/>
        </w:rPr>
        <w:t>onsultacijos vykdymo tvarka</w:t>
      </w:r>
    </w:p>
    <w:p w14:paraId="06A64BB7" w14:textId="4273D471" w:rsidR="004C1241" w:rsidRPr="00022768" w:rsidRDefault="006D1E41" w:rsidP="00935692">
      <w:pPr>
        <w:spacing w:line="240" w:lineRule="auto"/>
        <w:ind w:firstLine="851"/>
        <w:rPr>
          <w:rFonts w:cs="Times New Roman"/>
          <w:bCs/>
          <w:szCs w:val="24"/>
        </w:rPr>
      </w:pPr>
      <w:r w:rsidRPr="00022768">
        <w:rPr>
          <w:rFonts w:cs="Times New Roman"/>
          <w:szCs w:val="24"/>
        </w:rPr>
        <w:t>Rinkos konsultacija vykdoma</w:t>
      </w:r>
      <w:r w:rsidR="005770D5" w:rsidRPr="00022768">
        <w:rPr>
          <w:rFonts w:cs="Times New Roman"/>
          <w:szCs w:val="24"/>
        </w:rPr>
        <w:t>: i</w:t>
      </w:r>
      <w:r w:rsidR="005770D5" w:rsidRPr="00022768">
        <w:rPr>
          <w:rFonts w:cs="Times New Roman"/>
          <w:iCs/>
          <w:szCs w:val="24"/>
        </w:rPr>
        <w:t>šankstinė konsultacija CVP IS priemonėmis</w:t>
      </w:r>
      <w:r w:rsidR="00B323EC" w:rsidRPr="00022768">
        <w:rPr>
          <w:rFonts w:cs="Times New Roman"/>
          <w:iCs/>
          <w:szCs w:val="24"/>
        </w:rPr>
        <w:t>.</w:t>
      </w:r>
    </w:p>
    <w:p w14:paraId="21C2B947" w14:textId="010382D5" w:rsidR="006D1E41" w:rsidRPr="00022768" w:rsidRDefault="006D1E41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Kviečiame tiekėjus susipažinti su viešai paskelb</w:t>
      </w:r>
      <w:r w:rsidR="006A2BE8" w:rsidRPr="00022768">
        <w:rPr>
          <w:rFonts w:cs="Times New Roman"/>
          <w:szCs w:val="24"/>
        </w:rPr>
        <w:t>t</w:t>
      </w:r>
      <w:r w:rsidR="00C15A5A" w:rsidRPr="00022768">
        <w:rPr>
          <w:rFonts w:cs="Times New Roman"/>
          <w:szCs w:val="24"/>
        </w:rPr>
        <w:t>u</w:t>
      </w:r>
      <w:r w:rsidR="006A2BE8" w:rsidRPr="00022768">
        <w:rPr>
          <w:rFonts w:cs="Times New Roman"/>
          <w:szCs w:val="24"/>
        </w:rPr>
        <w:t xml:space="preserve"> </w:t>
      </w:r>
      <w:r w:rsidR="00C15A5A" w:rsidRPr="00022768">
        <w:rPr>
          <w:rFonts w:cs="Times New Roman"/>
          <w:bCs/>
          <w:szCs w:val="24"/>
        </w:rPr>
        <w:t>techninės specifikacijos projektu</w:t>
      </w:r>
      <w:r w:rsidR="00A54BD2" w:rsidRPr="00022768">
        <w:rPr>
          <w:rFonts w:cs="Times New Roman"/>
          <w:szCs w:val="24"/>
        </w:rPr>
        <w:t>,</w:t>
      </w:r>
      <w:r w:rsidR="006A2BE8" w:rsidRPr="00022768">
        <w:rPr>
          <w:rFonts w:cs="Times New Roman"/>
          <w:szCs w:val="24"/>
        </w:rPr>
        <w:t xml:space="preserve"> ir</w:t>
      </w:r>
      <w:r w:rsidR="00857688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teikiant pastabas ir (ar) pasiūlymus nurodyt</w:t>
      </w:r>
      <w:r w:rsidR="00C15A5A" w:rsidRPr="00022768">
        <w:rPr>
          <w:rFonts w:cs="Times New Roman"/>
          <w:szCs w:val="24"/>
        </w:rPr>
        <w:t>am</w:t>
      </w:r>
      <w:r w:rsidRPr="00022768">
        <w:rPr>
          <w:rFonts w:cs="Times New Roman"/>
          <w:szCs w:val="24"/>
        </w:rPr>
        <w:t xml:space="preserve"> dokument</w:t>
      </w:r>
      <w:r w:rsidR="00C15A5A" w:rsidRPr="00022768">
        <w:rPr>
          <w:rFonts w:cs="Times New Roman"/>
          <w:szCs w:val="24"/>
        </w:rPr>
        <w:t>o</w:t>
      </w:r>
      <w:r w:rsidRPr="00022768">
        <w:rPr>
          <w:rFonts w:cs="Times New Roman"/>
          <w:szCs w:val="24"/>
        </w:rPr>
        <w:t xml:space="preserve"> projekt</w:t>
      </w:r>
      <w:r w:rsidR="00C15A5A" w:rsidRPr="00022768">
        <w:rPr>
          <w:rFonts w:cs="Times New Roman"/>
          <w:szCs w:val="24"/>
        </w:rPr>
        <w:t>ui</w:t>
      </w:r>
      <w:r w:rsidRPr="00022768">
        <w:rPr>
          <w:rFonts w:cs="Times New Roman"/>
          <w:szCs w:val="24"/>
        </w:rPr>
        <w:t xml:space="preserve"> sudalyvauti rinkos konsultacijoje.</w:t>
      </w:r>
      <w:r w:rsidR="008844BD" w:rsidRPr="00022768">
        <w:rPr>
          <w:rFonts w:cs="Times New Roman"/>
          <w:szCs w:val="24"/>
        </w:rPr>
        <w:t xml:space="preserve"> Teikiant pastabas ir (ar) pasiūlymus, prašome pateikti </w:t>
      </w:r>
      <w:r w:rsidR="00533F22" w:rsidRPr="00022768">
        <w:rPr>
          <w:rFonts w:cs="Times New Roman"/>
          <w:szCs w:val="24"/>
        </w:rPr>
        <w:t xml:space="preserve">savo </w:t>
      </w:r>
      <w:r w:rsidR="008844BD" w:rsidRPr="00022768">
        <w:rPr>
          <w:rFonts w:cs="Times New Roman"/>
          <w:szCs w:val="24"/>
        </w:rPr>
        <w:t xml:space="preserve">pastabų ir (ar) pasiūlymų </w:t>
      </w:r>
      <w:r w:rsidR="00533F22" w:rsidRPr="00022768">
        <w:rPr>
          <w:rFonts w:cs="Times New Roman"/>
          <w:szCs w:val="24"/>
        </w:rPr>
        <w:t>pagrindimą ir argumentaciją.</w:t>
      </w:r>
    </w:p>
    <w:p w14:paraId="464AA9A4" w14:textId="734DAE39" w:rsidR="004B66E7" w:rsidRPr="00022768" w:rsidRDefault="004B66E7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Paskelbt</w:t>
      </w:r>
      <w:r w:rsidR="00C15A5A" w:rsidRPr="00022768">
        <w:rPr>
          <w:rFonts w:cs="Times New Roman"/>
          <w:szCs w:val="24"/>
        </w:rPr>
        <w:t>as</w:t>
      </w:r>
      <w:r w:rsidRPr="00022768">
        <w:rPr>
          <w:rFonts w:cs="Times New Roman"/>
          <w:szCs w:val="24"/>
        </w:rPr>
        <w:t xml:space="preserve"> dokum</w:t>
      </w:r>
      <w:r w:rsidR="00F008B8" w:rsidRPr="00022768">
        <w:rPr>
          <w:rFonts w:cs="Times New Roman"/>
          <w:szCs w:val="24"/>
        </w:rPr>
        <w:t>ent</w:t>
      </w:r>
      <w:r w:rsidR="00C15A5A" w:rsidRPr="00022768">
        <w:rPr>
          <w:rFonts w:cs="Times New Roman"/>
          <w:szCs w:val="24"/>
        </w:rPr>
        <w:t>o</w:t>
      </w:r>
      <w:r w:rsidR="00F008B8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projekta</w:t>
      </w:r>
      <w:r w:rsidR="00C15A5A" w:rsidRPr="00022768">
        <w:rPr>
          <w:rFonts w:cs="Times New Roman"/>
          <w:szCs w:val="24"/>
        </w:rPr>
        <w:t>s</w:t>
      </w:r>
      <w:r w:rsidR="00F25165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nėra galutini</w:t>
      </w:r>
      <w:r w:rsidR="00C15A5A" w:rsidRPr="00022768">
        <w:rPr>
          <w:rFonts w:cs="Times New Roman"/>
          <w:szCs w:val="24"/>
        </w:rPr>
        <w:t>s</w:t>
      </w:r>
      <w:r w:rsidRPr="00022768">
        <w:rPr>
          <w:rFonts w:cs="Times New Roman"/>
          <w:szCs w:val="24"/>
        </w:rPr>
        <w:t>, j</w:t>
      </w:r>
      <w:r w:rsidR="00C15A5A" w:rsidRPr="00022768">
        <w:rPr>
          <w:rFonts w:cs="Times New Roman"/>
          <w:szCs w:val="24"/>
        </w:rPr>
        <w:t>o</w:t>
      </w:r>
      <w:r w:rsidRPr="00022768">
        <w:rPr>
          <w:rFonts w:cs="Times New Roman"/>
          <w:szCs w:val="24"/>
        </w:rPr>
        <w:t xml:space="preserve"> turinys po rinkos konsultacijos gali keistis.</w:t>
      </w:r>
    </w:p>
    <w:p w14:paraId="6265569F" w14:textId="77777777" w:rsidR="004C1241" w:rsidRPr="00022768" w:rsidRDefault="004C1241" w:rsidP="00935692">
      <w:pPr>
        <w:spacing w:line="240" w:lineRule="auto"/>
        <w:ind w:firstLine="851"/>
        <w:rPr>
          <w:rFonts w:cs="Times New Roman"/>
          <w:szCs w:val="24"/>
        </w:rPr>
      </w:pPr>
    </w:p>
    <w:p w14:paraId="395AD20B" w14:textId="77777777" w:rsidR="004B66E7" w:rsidRPr="00022768" w:rsidRDefault="004B66E7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>3. Rinkos konsultacijos etapai:</w:t>
      </w:r>
    </w:p>
    <w:p w14:paraId="6C38C530" w14:textId="16E3F364" w:rsidR="004B66E7" w:rsidRPr="00022768" w:rsidRDefault="004B66E7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i/>
          <w:szCs w:val="24"/>
        </w:rPr>
        <w:t>I etapas</w:t>
      </w:r>
      <w:r w:rsidRPr="00022768">
        <w:rPr>
          <w:rFonts w:cs="Times New Roman"/>
          <w:szCs w:val="24"/>
        </w:rP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 w:rsidRPr="00022768">
        <w:rPr>
          <w:rFonts w:cs="Times New Roman"/>
          <w:szCs w:val="24"/>
        </w:rPr>
        <w:t>prašome</w:t>
      </w:r>
      <w:r w:rsidRPr="00022768">
        <w:rPr>
          <w:rFonts w:cs="Times New Roman"/>
          <w:szCs w:val="24"/>
        </w:rPr>
        <w:t xml:space="preserve"> pateikti</w:t>
      </w:r>
      <w:r w:rsidR="00533F22" w:rsidRPr="00022768">
        <w:rPr>
          <w:rFonts w:cs="Times New Roman"/>
          <w:szCs w:val="24"/>
        </w:rPr>
        <w:t xml:space="preserve"> ne vėliau kai</w:t>
      </w:r>
      <w:r w:rsidR="00BB4954" w:rsidRPr="00022768">
        <w:rPr>
          <w:rFonts w:cs="Times New Roman"/>
          <w:szCs w:val="24"/>
        </w:rPr>
        <w:t>p</w:t>
      </w:r>
      <w:r w:rsidRPr="00022768">
        <w:rPr>
          <w:rFonts w:cs="Times New Roman"/>
          <w:szCs w:val="24"/>
        </w:rPr>
        <w:t xml:space="preserve"> </w:t>
      </w:r>
      <w:r w:rsidR="00B323EC" w:rsidRPr="00022768">
        <w:rPr>
          <w:rFonts w:cs="Times New Roman"/>
          <w:b/>
          <w:bCs/>
          <w:szCs w:val="24"/>
        </w:rPr>
        <w:t>202</w:t>
      </w:r>
      <w:r w:rsidR="00085EAE">
        <w:rPr>
          <w:rFonts w:cs="Times New Roman"/>
          <w:b/>
          <w:bCs/>
          <w:szCs w:val="24"/>
        </w:rPr>
        <w:t>6</w:t>
      </w:r>
      <w:r w:rsidR="00B323EC" w:rsidRPr="00022768">
        <w:rPr>
          <w:rFonts w:cs="Times New Roman"/>
          <w:b/>
          <w:bCs/>
          <w:szCs w:val="24"/>
        </w:rPr>
        <w:t xml:space="preserve"> m. </w:t>
      </w:r>
      <w:r w:rsidR="00290149">
        <w:rPr>
          <w:rFonts w:cs="Times New Roman"/>
          <w:b/>
          <w:bCs/>
          <w:szCs w:val="24"/>
        </w:rPr>
        <w:t>balandžio</w:t>
      </w:r>
      <w:r w:rsidR="00B323EC" w:rsidRPr="00022768">
        <w:rPr>
          <w:rFonts w:cs="Times New Roman"/>
          <w:b/>
          <w:bCs/>
          <w:szCs w:val="24"/>
        </w:rPr>
        <w:t xml:space="preserve"> </w:t>
      </w:r>
      <w:r w:rsidR="00085EAE">
        <w:rPr>
          <w:rFonts w:cs="Times New Roman"/>
          <w:b/>
          <w:bCs/>
          <w:szCs w:val="24"/>
        </w:rPr>
        <w:t>2</w:t>
      </w:r>
      <w:r w:rsidR="00290149">
        <w:rPr>
          <w:rFonts w:cs="Times New Roman"/>
          <w:b/>
          <w:bCs/>
          <w:szCs w:val="24"/>
        </w:rPr>
        <w:t>4</w:t>
      </w:r>
      <w:r w:rsidR="00B323EC" w:rsidRPr="00022768">
        <w:rPr>
          <w:rFonts w:cs="Times New Roman"/>
          <w:b/>
          <w:bCs/>
          <w:szCs w:val="24"/>
        </w:rPr>
        <w:t xml:space="preserve"> d. </w:t>
      </w:r>
      <w:r w:rsidR="00C15A5A" w:rsidRPr="00022768">
        <w:rPr>
          <w:rFonts w:cs="Times New Roman"/>
          <w:b/>
          <w:bCs/>
          <w:szCs w:val="24"/>
        </w:rPr>
        <w:t>1</w:t>
      </w:r>
      <w:r w:rsidR="003E6AFE">
        <w:rPr>
          <w:rFonts w:cs="Times New Roman"/>
          <w:b/>
          <w:bCs/>
          <w:szCs w:val="24"/>
        </w:rPr>
        <w:t>5</w:t>
      </w:r>
      <w:r w:rsidR="00C15A5A" w:rsidRPr="00022768">
        <w:rPr>
          <w:rFonts w:cs="Times New Roman"/>
          <w:b/>
          <w:bCs/>
          <w:szCs w:val="24"/>
        </w:rPr>
        <w:t xml:space="preserve">:00 val. </w:t>
      </w:r>
      <w:r w:rsidRPr="00022768">
        <w:rPr>
          <w:rFonts w:cs="Times New Roman"/>
          <w:szCs w:val="24"/>
        </w:rPr>
        <w:t>lietuvių kalba.</w:t>
      </w:r>
      <w:r w:rsidR="00533F22" w:rsidRPr="00022768">
        <w:rPr>
          <w:rFonts w:cs="Times New Roman"/>
          <w:szCs w:val="24"/>
        </w:rPr>
        <w:t xml:space="preserve"> Pastabos ir (ar) pasiūlymai, gauti pasibaigus aukščiau nurodytam terminui gali būti nenagrinėjami.</w:t>
      </w:r>
    </w:p>
    <w:p w14:paraId="58F1B06E" w14:textId="77777777" w:rsidR="00495251" w:rsidRPr="00022768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 w:rsidRPr="00022768">
        <w:rPr>
          <w:rFonts w:eastAsia="Calibri" w:cs="Times New Roman"/>
          <w:i/>
          <w:iCs/>
          <w:szCs w:val="24"/>
        </w:rPr>
        <w:t>II</w:t>
      </w:r>
      <w:r w:rsidR="00495251" w:rsidRPr="00022768">
        <w:rPr>
          <w:rFonts w:eastAsia="Calibri" w:cs="Times New Roman"/>
          <w:i/>
          <w:iCs/>
          <w:szCs w:val="24"/>
        </w:rPr>
        <w:t xml:space="preserve"> etapas:</w:t>
      </w:r>
      <w:r w:rsidR="00495251" w:rsidRPr="00022768">
        <w:rPr>
          <w:rFonts w:eastAsia="Calibri" w:cs="Times New Roman"/>
          <w:szCs w:val="24"/>
        </w:rPr>
        <w:t xml:space="preserve"> </w:t>
      </w:r>
      <w:r w:rsidR="000B3037" w:rsidRPr="0002276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022768">
        <w:rPr>
          <w:rFonts w:eastAsia="Calibri" w:cs="Times New Roman"/>
          <w:szCs w:val="24"/>
        </w:rPr>
        <w:t>a</w:t>
      </w:r>
      <w:r w:rsidR="00495251" w:rsidRPr="00022768">
        <w:rPr>
          <w:rFonts w:eastAsia="Calibri" w:cs="Times New Roman"/>
          <w:szCs w:val="24"/>
        </w:rPr>
        <w:t>pibendrinta informacija</w:t>
      </w:r>
      <w:r w:rsidR="000B3037" w:rsidRPr="0002276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02276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022768">
        <w:rPr>
          <w:rFonts w:eastAsia="Calibri" w:cs="Times New Roman"/>
          <w:szCs w:val="24"/>
        </w:rPr>
        <w:t xml:space="preserve"> apie šią rinkos konsultaciją ne vėliau kai</w:t>
      </w:r>
      <w:r w:rsidR="000B3037" w:rsidRPr="00022768">
        <w:rPr>
          <w:rFonts w:eastAsia="Calibri" w:cs="Times New Roman"/>
          <w:szCs w:val="24"/>
        </w:rPr>
        <w:t>p iki pirkimo pradžios</w:t>
      </w:r>
      <w:r w:rsidR="00612CD6" w:rsidRPr="00022768">
        <w:rPr>
          <w:rFonts w:eastAsia="Calibri" w:cs="Times New Roman"/>
          <w:szCs w:val="24"/>
        </w:rPr>
        <w:t>.</w:t>
      </w:r>
    </w:p>
    <w:p w14:paraId="7E8DAA55" w14:textId="32D66B80" w:rsidR="00AF7073" w:rsidRPr="00022768" w:rsidRDefault="009C0DEE" w:rsidP="00497446">
      <w:pPr>
        <w:pStyle w:val="SLONormal"/>
        <w:spacing w:before="0" w:after="0"/>
        <w:ind w:firstLine="851"/>
        <w:rPr>
          <w:lang w:val="lt-LT"/>
        </w:rPr>
      </w:pPr>
      <w:r w:rsidRPr="00022768">
        <w:rPr>
          <w:lang w:val="lt-LT"/>
        </w:rPr>
        <w:t>D</w:t>
      </w:r>
      <w:r w:rsidR="003F2861" w:rsidRPr="00022768">
        <w:rPr>
          <w:lang w:val="lt-LT"/>
        </w:rPr>
        <w:t xml:space="preserve">uomenys apie rinkos </w:t>
      </w:r>
      <w:r w:rsidRPr="00022768">
        <w:rPr>
          <w:lang w:val="lt-LT"/>
        </w:rPr>
        <w:t>konsultacijos dalyvius</w:t>
      </w:r>
      <w:r w:rsidR="003F2861" w:rsidRPr="00022768">
        <w:rPr>
          <w:lang w:val="lt-LT"/>
        </w:rPr>
        <w:t xml:space="preserve"> bei šių </w:t>
      </w:r>
      <w:r w:rsidRPr="00022768">
        <w:rPr>
          <w:lang w:val="lt-LT"/>
        </w:rPr>
        <w:t>dalyvių</w:t>
      </w:r>
      <w:r w:rsidR="003F2861" w:rsidRPr="00022768">
        <w:rPr>
          <w:lang w:val="lt-LT"/>
        </w:rPr>
        <w:t xml:space="preserve"> rinkos konsultacijų metu pateikta </w:t>
      </w:r>
      <w:r w:rsidR="000B3037" w:rsidRPr="00022768">
        <w:rPr>
          <w:lang w:val="lt-LT"/>
        </w:rPr>
        <w:t>konfidenciali informacija nebus viešinama</w:t>
      </w:r>
      <w:r w:rsidR="00BD47EE" w:rsidRPr="00022768">
        <w:rPr>
          <w:lang w:val="lt-LT"/>
        </w:rPr>
        <w:t>, skelbiama ar perduodama tretiesiems asmenims</w:t>
      </w:r>
      <w:r w:rsidR="000B3037" w:rsidRPr="00022768">
        <w:rPr>
          <w:lang w:val="lt-LT"/>
        </w:rPr>
        <w:t xml:space="preserve">. </w:t>
      </w:r>
      <w:r w:rsidR="003F2861" w:rsidRPr="00022768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25F9F6D5" w14:textId="0EC25387" w:rsidR="00091593" w:rsidRPr="00022768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22768">
        <w:rPr>
          <w:iCs/>
          <w:lang w:val="lt-LT"/>
        </w:rPr>
        <w:t>Perkančiosios organizacijos kontaktini</w:t>
      </w:r>
      <w:r w:rsidR="005B2D21" w:rsidRPr="00022768">
        <w:rPr>
          <w:iCs/>
          <w:lang w:val="lt-LT"/>
        </w:rPr>
        <w:t>s (-iai)</w:t>
      </w:r>
      <w:r w:rsidRPr="00022768">
        <w:rPr>
          <w:iCs/>
          <w:lang w:val="lt-LT"/>
        </w:rPr>
        <w:t xml:space="preserve"> asm</w:t>
      </w:r>
      <w:r w:rsidR="007F490E" w:rsidRPr="00022768">
        <w:rPr>
          <w:iCs/>
          <w:lang w:val="lt-LT"/>
        </w:rPr>
        <w:t>uo (-enys)</w:t>
      </w:r>
      <w:r w:rsidRPr="00022768">
        <w:rPr>
          <w:iCs/>
          <w:lang w:val="lt-LT"/>
        </w:rPr>
        <w:t xml:space="preserve"> </w:t>
      </w:r>
      <w:r w:rsidR="001A7F87" w:rsidRPr="001A7F87">
        <w:rPr>
          <w:lang w:val="lt-LT"/>
        </w:rPr>
        <w:t>atsakingas už šios rinkos konsultacijos procedūros CVP IS vykdymą</w:t>
      </w:r>
      <w:r w:rsidR="001A7F87">
        <w:rPr>
          <w:lang w:val="lt-LT"/>
        </w:rPr>
        <w:t xml:space="preserve"> </w:t>
      </w:r>
      <w:r w:rsidRPr="00022768">
        <w:rPr>
          <w:lang w:val="lt-LT"/>
        </w:rPr>
        <w:t xml:space="preserve">– </w:t>
      </w:r>
      <w:r w:rsidR="003E6AFE">
        <w:rPr>
          <w:bCs/>
        </w:rPr>
        <w:t xml:space="preserve">Turto valdymo ir viešųjų pirkimų skyriaus </w:t>
      </w:r>
      <w:r w:rsidR="005670DE">
        <w:rPr>
          <w:bCs/>
        </w:rPr>
        <w:t xml:space="preserve">patarėja, atliekanti vedėjo funkcijas </w:t>
      </w:r>
      <w:r w:rsidR="003E6AFE">
        <w:rPr>
          <w:bCs/>
        </w:rPr>
        <w:t xml:space="preserve"> </w:t>
      </w:r>
      <w:r w:rsidR="005670DE">
        <w:rPr>
          <w:bCs/>
        </w:rPr>
        <w:t>Edita Gleb</w:t>
      </w:r>
      <w:r w:rsidR="00B323EC" w:rsidRPr="00022768">
        <w:rPr>
          <w:bCs/>
        </w:rPr>
        <w:t xml:space="preserve">, el.p. </w:t>
      </w:r>
      <w:hyperlink r:id="rId8" w:history="1">
        <w:r w:rsidR="005670DE" w:rsidRPr="008E7C6F">
          <w:rPr>
            <w:rStyle w:val="Hyperlink"/>
            <w:bCs/>
          </w:rPr>
          <w:t>edita.gleb@vatzum.lt</w:t>
        </w:r>
      </w:hyperlink>
      <w:r w:rsidR="00B323EC" w:rsidRPr="00022768">
        <w:rPr>
          <w:bCs/>
        </w:rPr>
        <w:t>. tel. +370</w:t>
      </w:r>
      <w:r w:rsidR="001A7F87" w:rsidRPr="001A7F87">
        <w:rPr>
          <w:rFonts w:ascii="Arial" w:eastAsiaTheme="minorHAnsi" w:hAnsi="Arial" w:cs="Arial"/>
          <w:color w:val="091A5A"/>
          <w:szCs w:val="22"/>
          <w:shd w:val="clear" w:color="auto" w:fill="FFFFFF"/>
          <w:lang w:val="lt-LT"/>
        </w:rPr>
        <w:t xml:space="preserve"> </w:t>
      </w:r>
      <w:r w:rsidR="001A7F87" w:rsidRPr="001A7F87">
        <w:rPr>
          <w:bCs/>
          <w:lang w:val="lt-LT"/>
        </w:rPr>
        <w:t>620</w:t>
      </w:r>
      <w:r w:rsidR="005670DE">
        <w:rPr>
          <w:bCs/>
          <w:lang w:val="lt-LT"/>
        </w:rPr>
        <w:t xml:space="preserve"> 68483</w:t>
      </w:r>
      <w:r w:rsidRPr="00022768">
        <w:rPr>
          <w:bCs/>
          <w:lang w:val="lt-LT"/>
        </w:rPr>
        <w:t>.</w:t>
      </w:r>
      <w:r w:rsidRPr="00022768">
        <w:rPr>
          <w:lang w:val="lt-LT"/>
        </w:rPr>
        <w:t xml:space="preserve"> </w:t>
      </w:r>
    </w:p>
    <w:p w14:paraId="67DEF035" w14:textId="77777777" w:rsidR="0010589B" w:rsidRPr="00022768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Pr="00022768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022768">
        <w:rPr>
          <w:rFonts w:eastAsia="Times New Roman" w:cs="Times New Roman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782"/>
        <w:gridCol w:w="2268"/>
      </w:tblGrid>
      <w:tr w:rsidR="00941D11" w:rsidRPr="00022768" w14:paraId="16F49CB3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Atsakymai / pastabos / siūlymai</w:t>
            </w:r>
          </w:p>
        </w:tc>
      </w:tr>
      <w:tr w:rsidR="00941D11" w:rsidRPr="00022768" w14:paraId="44AC9FB2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022768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B676" w14:textId="77777777" w:rsidR="000A272D" w:rsidRPr="00022768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="Times New Roman"/>
                <w:kern w:val="3"/>
                <w:szCs w:val="24"/>
                <w:lang w:eastAsia="zh-CN" w:bidi="hi-IN"/>
              </w:rPr>
            </w:pPr>
            <w:r w:rsidRPr="00022768">
              <w:rPr>
                <w:rFonts w:eastAsia="SimSun" w:cs="Times New Roman"/>
                <w:kern w:val="3"/>
                <w:szCs w:val="24"/>
                <w:lang w:eastAsia="lt-LT" w:bidi="hi-IN"/>
              </w:rPr>
              <w:t xml:space="preserve">Ar techninėje specifikacijoje nurodyti reikalavimai ir sąlygos yra priimtinos ir aiškios, ar teiktumėte pasiūlymą dėl šio pirkimo objekto? </w:t>
            </w:r>
          </w:p>
          <w:p w14:paraId="626F9FBC" w14:textId="77777777" w:rsidR="000A272D" w:rsidRPr="00022768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="Times New Roman"/>
                <w:i/>
                <w:kern w:val="3"/>
                <w:szCs w:val="24"/>
                <w:lang w:eastAsia="zh-CN" w:bidi="hi-IN"/>
              </w:rPr>
            </w:pPr>
            <w:r w:rsidRPr="00022768">
              <w:rPr>
                <w:rFonts w:eastAsia="SimSun" w:cs="Times New Roman"/>
                <w:i/>
                <w:kern w:val="3"/>
                <w:szCs w:val="24"/>
                <w:lang w:eastAsia="zh-CN" w:bidi="hi-IN"/>
              </w:rPr>
              <w:t>(Prašome pateikti argumentuotas pastabas bei konkrečių techninės specifikacijos punktų  pakeitimus/patikslinimus, kurie  suteiktų galimybę Jūsų įmonei pasiūlyti techninės specifikacijos reikalavimų visumą atitinkantį pirkimo objektą).</w:t>
            </w:r>
          </w:p>
          <w:p w14:paraId="56B17B02" w14:textId="77777777" w:rsidR="00DF6BEC" w:rsidRPr="00022768" w:rsidRDefault="00DF6BEC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022768" w14:paraId="02FCBA6C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022768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2</w:t>
            </w:r>
            <w:r w:rsidR="00941D11" w:rsidRPr="0002276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2484E47B" w:rsidR="00941D11" w:rsidRPr="00022768" w:rsidRDefault="000A272D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Kokius, Jūsų nuomone, papildomus reikalavimus perkamam objektui būtų tikslinga įrašyti techninėje specifikacijoje? Kokius reikalavimus perkamam objektui būtų tikslinga išbraukti iš techninės specifikacijos?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022768" w14:paraId="5F8ECD84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Pr="00022768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3115F0EF" w:rsidR="00320E6E" w:rsidRPr="00022768" w:rsidRDefault="000A272D" w:rsidP="00935692">
            <w:pPr>
              <w:spacing w:line="240" w:lineRule="auto"/>
              <w:rPr>
                <w:rFonts w:cs="Times New Roman"/>
                <w:szCs w:val="24"/>
              </w:rPr>
            </w:pPr>
            <w:r w:rsidRPr="00022768">
              <w:rPr>
                <w:rFonts w:cs="Times New Roman"/>
                <w:szCs w:val="24"/>
              </w:rPr>
              <w:t>Kokie, Jūsų nuomone, reikalavimai įrašyti techninės specifikacijos projekte ribotų (riboja) konkurenciją tarp teikėjų?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022768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022768" w14:paraId="5B11A1B1" w14:textId="77777777" w:rsidTr="00497446">
        <w:trPr>
          <w:trHeight w:val="4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Pr="00022768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4</w:t>
            </w:r>
            <w:r w:rsidR="00EA1951" w:rsidRPr="00022768">
              <w:rPr>
                <w:rFonts w:eastAsia="Calibri" w:cs="Times New Roman"/>
                <w:szCs w:val="24"/>
              </w:rPr>
              <w:t>.</w:t>
            </w:r>
            <w:r w:rsidR="00941D11" w:rsidRPr="00022768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4F542A93" w:rsidR="00941D11" w:rsidRPr="00022768" w:rsidRDefault="000A272D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22768">
              <w:rPr>
                <w:rFonts w:eastAsia="Times New Roman" w:cs="Times New Roman"/>
                <w:color w:val="000000"/>
                <w:szCs w:val="24"/>
                <w:lang w:eastAsia="lt-LT"/>
              </w:rPr>
              <w:t>Ar turite kitų pastabų dėl techninėje specifikacijoje nurodytų reikalavimų. Jeigu taip, prašome nurodyti punktus ir pastabas.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60C511C3" w14:textId="77777777" w:rsidR="0025569D" w:rsidRDefault="00497446" w:rsidP="00935692">
      <w:pPr>
        <w:spacing w:line="240" w:lineRule="auto"/>
        <w:ind w:right="-563"/>
        <w:rPr>
          <w:rFonts w:eastAsia="Times New Roman" w:cs="Times New Roman"/>
          <w:color w:val="000000"/>
          <w:szCs w:val="24"/>
          <w:lang w:eastAsia="lt-LT"/>
        </w:rPr>
      </w:pPr>
      <w:r w:rsidRPr="00022768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14:paraId="2DC47B2C" w14:textId="77777777" w:rsidR="00E063E2" w:rsidRDefault="00E063E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4899226C" w14:textId="5D7E69C3" w:rsidR="006C2A52" w:rsidRPr="00E063E2" w:rsidRDefault="00E063E2" w:rsidP="00E063E2">
      <w:pPr>
        <w:spacing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E063E2">
        <w:rPr>
          <w:rFonts w:eastAsia="Times New Roman" w:cs="Times New Roman"/>
          <w:color w:val="000000"/>
          <w:szCs w:val="24"/>
          <w:lang w:eastAsia="lt-LT"/>
        </w:rPr>
        <w:t xml:space="preserve">PRIDEDAMA. </w:t>
      </w:r>
      <w:r w:rsidR="00290149" w:rsidRPr="00290149">
        <w:rPr>
          <w:rFonts w:eastAsia="Times New Roman" w:cs="Times New Roman"/>
          <w:color w:val="000000"/>
          <w:szCs w:val="24"/>
          <w:lang w:eastAsia="lt-LT"/>
        </w:rPr>
        <w:t>Valdymo, optimizavimo ir monitoringo programinės įrangos FOSS įrenginiams (prietaisams „Infratec“) IQX One arba lygiavertė metinė licencija, skirta centralizuoto administravimo ir duomenų valdymo vieningame tinkle paslaugo</w:t>
      </w:r>
      <w:r w:rsidR="00936015">
        <w:rPr>
          <w:rFonts w:eastAsia="Times New Roman" w:cs="Times New Roman"/>
          <w:color w:val="000000"/>
          <w:szCs w:val="24"/>
          <w:lang w:eastAsia="lt-LT"/>
        </w:rPr>
        <w:t>m</w:t>
      </w:r>
      <w:r w:rsidR="00290149" w:rsidRPr="00290149">
        <w:rPr>
          <w:rFonts w:eastAsia="Times New Roman" w:cs="Times New Roman"/>
          <w:color w:val="000000"/>
          <w:szCs w:val="24"/>
          <w:lang w:eastAsia="lt-LT"/>
        </w:rPr>
        <w:t>s</w:t>
      </w:r>
      <w:r w:rsidR="00290149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E063E2">
        <w:rPr>
          <w:rFonts w:eastAsia="Times New Roman" w:cs="Times New Roman"/>
          <w:color w:val="000000"/>
          <w:szCs w:val="24"/>
          <w:lang w:eastAsia="lt-LT"/>
        </w:rPr>
        <w:t>techninė</w:t>
      </w:r>
      <w:r w:rsidR="00162636">
        <w:rPr>
          <w:rFonts w:eastAsia="Times New Roman" w:cs="Times New Roman"/>
          <w:color w:val="000000"/>
          <w:szCs w:val="24"/>
          <w:lang w:eastAsia="lt-LT"/>
        </w:rPr>
        <w:t>s</w:t>
      </w:r>
      <w:r w:rsidRPr="00E063E2">
        <w:rPr>
          <w:rFonts w:eastAsia="Times New Roman" w:cs="Times New Roman"/>
          <w:color w:val="000000"/>
          <w:szCs w:val="24"/>
          <w:lang w:eastAsia="lt-LT"/>
        </w:rPr>
        <w:t xml:space="preserve"> specifikacij</w:t>
      </w:r>
      <w:r w:rsidR="00162636">
        <w:rPr>
          <w:rFonts w:eastAsia="Times New Roman" w:cs="Times New Roman"/>
          <w:color w:val="000000"/>
          <w:szCs w:val="24"/>
          <w:lang w:eastAsia="lt-LT"/>
        </w:rPr>
        <w:t>os projektas</w:t>
      </w:r>
      <w:r w:rsidR="00290149">
        <w:rPr>
          <w:rFonts w:eastAsia="Times New Roman" w:cs="Times New Roman"/>
          <w:color w:val="000000"/>
          <w:szCs w:val="24"/>
          <w:lang w:eastAsia="lt-LT"/>
        </w:rPr>
        <w:t>.</w:t>
      </w:r>
    </w:p>
    <w:p w14:paraId="3283A7D7" w14:textId="47D9512F" w:rsidR="006C2A52" w:rsidRDefault="0025569D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                                           ___________________________</w:t>
      </w:r>
    </w:p>
    <w:p w14:paraId="1D835B53" w14:textId="4CEFD488" w:rsidR="006C2A52" w:rsidRDefault="0025569D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</w:p>
    <w:p w14:paraId="3BE683D9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2918E6DE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10173278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1452FD02" w14:textId="77777777" w:rsidR="006C2A52" w:rsidRDefault="006C2A52" w:rsidP="006C2A52">
      <w:pPr>
        <w:pStyle w:val="NoSpacing"/>
        <w:spacing w:line="276" w:lineRule="auto"/>
        <w:ind w:firstLine="0"/>
        <w:rPr>
          <w:rFonts w:ascii="Tahoma" w:hAnsi="Tahoma" w:cs="Tahoma"/>
          <w:sz w:val="22"/>
        </w:rPr>
      </w:pPr>
    </w:p>
    <w:sectPr w:rsidR="006C2A52" w:rsidSect="003F2861">
      <w:headerReference w:type="default" r:id="rId9"/>
      <w:footerReference w:type="default" r:id="rId10"/>
      <w:footerReference w:type="first" r:id="rId11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69CA0" w14:textId="77777777" w:rsidR="004A307F" w:rsidRDefault="004A307F" w:rsidP="005F2C09">
      <w:pPr>
        <w:spacing w:line="240" w:lineRule="auto"/>
      </w:pPr>
      <w:r>
        <w:separator/>
      </w:r>
    </w:p>
  </w:endnote>
  <w:endnote w:type="continuationSeparator" w:id="0">
    <w:p w14:paraId="0C2C2B45" w14:textId="77777777" w:rsidR="004A307F" w:rsidRDefault="004A307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945A0" w14:textId="62B9E98D" w:rsidR="00360B98" w:rsidRDefault="00360B98" w:rsidP="00360B98">
    <w:pPr>
      <w:pStyle w:val="Footer"/>
      <w:jc w:val="right"/>
    </w:pPr>
    <w: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77D6" w14:textId="288DCB38" w:rsidR="00360B98" w:rsidRDefault="00360B98" w:rsidP="00360B98">
    <w:pPr>
      <w:pStyle w:val="Footer"/>
      <w:jc w:val="right"/>
    </w:pPr>
    <w:r>
      <w:t xml:space="preserve">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DF48" w14:textId="77777777" w:rsidR="004A307F" w:rsidRDefault="004A307F" w:rsidP="005F2C09">
      <w:pPr>
        <w:spacing w:line="240" w:lineRule="auto"/>
      </w:pPr>
      <w:r>
        <w:separator/>
      </w:r>
    </w:p>
  </w:footnote>
  <w:footnote w:type="continuationSeparator" w:id="0">
    <w:p w14:paraId="012D66DE" w14:textId="77777777" w:rsidR="004A307F" w:rsidRDefault="004A307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68EF45B" w:rsidR="00014401" w:rsidRPr="00014401" w:rsidRDefault="00014401">
        <w:pPr>
          <w:pStyle w:val="Header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A3145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Header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60444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817483">
    <w:abstractNumId w:val="3"/>
  </w:num>
  <w:num w:numId="3" w16cid:durableId="2141530034">
    <w:abstractNumId w:val="0"/>
  </w:num>
  <w:num w:numId="4" w16cid:durableId="533540547">
    <w:abstractNumId w:val="2"/>
  </w:num>
  <w:num w:numId="5" w16cid:durableId="250161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07190"/>
    <w:rsid w:val="000119A6"/>
    <w:rsid w:val="00014401"/>
    <w:rsid w:val="00015630"/>
    <w:rsid w:val="00015681"/>
    <w:rsid w:val="00022768"/>
    <w:rsid w:val="00027A74"/>
    <w:rsid w:val="00043B41"/>
    <w:rsid w:val="00045937"/>
    <w:rsid w:val="00082778"/>
    <w:rsid w:val="00085EAE"/>
    <w:rsid w:val="00091593"/>
    <w:rsid w:val="000938C7"/>
    <w:rsid w:val="000951E8"/>
    <w:rsid w:val="000A189D"/>
    <w:rsid w:val="000A272D"/>
    <w:rsid w:val="000B3037"/>
    <w:rsid w:val="000B4905"/>
    <w:rsid w:val="000B4E41"/>
    <w:rsid w:val="000C20EE"/>
    <w:rsid w:val="000C4198"/>
    <w:rsid w:val="000D1F23"/>
    <w:rsid w:val="000E445D"/>
    <w:rsid w:val="0010589B"/>
    <w:rsid w:val="00110B72"/>
    <w:rsid w:val="001243A0"/>
    <w:rsid w:val="001350C4"/>
    <w:rsid w:val="001357E9"/>
    <w:rsid w:val="001373E2"/>
    <w:rsid w:val="00153F81"/>
    <w:rsid w:val="00155DBD"/>
    <w:rsid w:val="00157379"/>
    <w:rsid w:val="00162636"/>
    <w:rsid w:val="001744B2"/>
    <w:rsid w:val="00175554"/>
    <w:rsid w:val="00183C48"/>
    <w:rsid w:val="00190C90"/>
    <w:rsid w:val="001933FB"/>
    <w:rsid w:val="001A7F87"/>
    <w:rsid w:val="001D62A2"/>
    <w:rsid w:val="001E7D9F"/>
    <w:rsid w:val="001F29B7"/>
    <w:rsid w:val="00202F50"/>
    <w:rsid w:val="00205EEE"/>
    <w:rsid w:val="0021253F"/>
    <w:rsid w:val="002158E7"/>
    <w:rsid w:val="00216AD5"/>
    <w:rsid w:val="00240D24"/>
    <w:rsid w:val="00251669"/>
    <w:rsid w:val="00253348"/>
    <w:rsid w:val="0025569D"/>
    <w:rsid w:val="00275061"/>
    <w:rsid w:val="00290149"/>
    <w:rsid w:val="002A084A"/>
    <w:rsid w:val="002A1B77"/>
    <w:rsid w:val="002A5267"/>
    <w:rsid w:val="002B498B"/>
    <w:rsid w:val="002B7641"/>
    <w:rsid w:val="002C3EEB"/>
    <w:rsid w:val="002C5C78"/>
    <w:rsid w:val="002D0A7F"/>
    <w:rsid w:val="002E13C1"/>
    <w:rsid w:val="002E2683"/>
    <w:rsid w:val="002E6E51"/>
    <w:rsid w:val="002F07D8"/>
    <w:rsid w:val="00320E6E"/>
    <w:rsid w:val="0033624D"/>
    <w:rsid w:val="00340BC8"/>
    <w:rsid w:val="0034380E"/>
    <w:rsid w:val="00344CA2"/>
    <w:rsid w:val="00351C35"/>
    <w:rsid w:val="00360B98"/>
    <w:rsid w:val="00361C9F"/>
    <w:rsid w:val="003701F9"/>
    <w:rsid w:val="003811A3"/>
    <w:rsid w:val="00385044"/>
    <w:rsid w:val="00386618"/>
    <w:rsid w:val="00386978"/>
    <w:rsid w:val="00387F56"/>
    <w:rsid w:val="003C0925"/>
    <w:rsid w:val="003C1E15"/>
    <w:rsid w:val="003C6524"/>
    <w:rsid w:val="003D1C73"/>
    <w:rsid w:val="003D42BD"/>
    <w:rsid w:val="003D6ED8"/>
    <w:rsid w:val="003E2A55"/>
    <w:rsid w:val="003E6AFE"/>
    <w:rsid w:val="003F2861"/>
    <w:rsid w:val="003F7443"/>
    <w:rsid w:val="0040035F"/>
    <w:rsid w:val="00407A70"/>
    <w:rsid w:val="00424DC1"/>
    <w:rsid w:val="00446EC2"/>
    <w:rsid w:val="00463C04"/>
    <w:rsid w:val="004724B7"/>
    <w:rsid w:val="00474535"/>
    <w:rsid w:val="00495251"/>
    <w:rsid w:val="00497446"/>
    <w:rsid w:val="004A01F9"/>
    <w:rsid w:val="004A307F"/>
    <w:rsid w:val="004A416B"/>
    <w:rsid w:val="004B4D0A"/>
    <w:rsid w:val="004B66E7"/>
    <w:rsid w:val="004B6CA9"/>
    <w:rsid w:val="004C089D"/>
    <w:rsid w:val="004C1241"/>
    <w:rsid w:val="004C17DC"/>
    <w:rsid w:val="004D12CD"/>
    <w:rsid w:val="004D4A88"/>
    <w:rsid w:val="004E0DF2"/>
    <w:rsid w:val="004E41BE"/>
    <w:rsid w:val="0051394D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0DE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355A"/>
    <w:rsid w:val="00645EBC"/>
    <w:rsid w:val="006626FE"/>
    <w:rsid w:val="006718ED"/>
    <w:rsid w:val="00671C8B"/>
    <w:rsid w:val="0068103F"/>
    <w:rsid w:val="00685C9A"/>
    <w:rsid w:val="006A0FA8"/>
    <w:rsid w:val="006A2BE8"/>
    <w:rsid w:val="006A3254"/>
    <w:rsid w:val="006C0FC3"/>
    <w:rsid w:val="006C2A52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95DA2"/>
    <w:rsid w:val="007A0C3A"/>
    <w:rsid w:val="007A4E1C"/>
    <w:rsid w:val="007B18EB"/>
    <w:rsid w:val="007D750C"/>
    <w:rsid w:val="007F490E"/>
    <w:rsid w:val="007F4B6D"/>
    <w:rsid w:val="0080065C"/>
    <w:rsid w:val="008055E4"/>
    <w:rsid w:val="00805FC2"/>
    <w:rsid w:val="00807C45"/>
    <w:rsid w:val="0081134F"/>
    <w:rsid w:val="00811F89"/>
    <w:rsid w:val="00826E6A"/>
    <w:rsid w:val="0083531D"/>
    <w:rsid w:val="00843C73"/>
    <w:rsid w:val="008457E8"/>
    <w:rsid w:val="00851886"/>
    <w:rsid w:val="00857688"/>
    <w:rsid w:val="00861927"/>
    <w:rsid w:val="008707E6"/>
    <w:rsid w:val="008753A8"/>
    <w:rsid w:val="00875724"/>
    <w:rsid w:val="00876B11"/>
    <w:rsid w:val="008844BD"/>
    <w:rsid w:val="0088653F"/>
    <w:rsid w:val="008B29DA"/>
    <w:rsid w:val="008D02FB"/>
    <w:rsid w:val="008D1EE2"/>
    <w:rsid w:val="008D4023"/>
    <w:rsid w:val="008E76CF"/>
    <w:rsid w:val="008E7EE6"/>
    <w:rsid w:val="008F1802"/>
    <w:rsid w:val="0091100A"/>
    <w:rsid w:val="00916CD4"/>
    <w:rsid w:val="00935692"/>
    <w:rsid w:val="00936015"/>
    <w:rsid w:val="00941D11"/>
    <w:rsid w:val="009537F1"/>
    <w:rsid w:val="00953FE3"/>
    <w:rsid w:val="00977648"/>
    <w:rsid w:val="00980616"/>
    <w:rsid w:val="00981FBE"/>
    <w:rsid w:val="009B0BC4"/>
    <w:rsid w:val="009B3AE5"/>
    <w:rsid w:val="009C0DEE"/>
    <w:rsid w:val="009C4103"/>
    <w:rsid w:val="009E04D0"/>
    <w:rsid w:val="009F2E69"/>
    <w:rsid w:val="00A06CE6"/>
    <w:rsid w:val="00A128DA"/>
    <w:rsid w:val="00A14F0B"/>
    <w:rsid w:val="00A23D67"/>
    <w:rsid w:val="00A3145C"/>
    <w:rsid w:val="00A40365"/>
    <w:rsid w:val="00A54BD2"/>
    <w:rsid w:val="00A555BD"/>
    <w:rsid w:val="00A5582F"/>
    <w:rsid w:val="00A64452"/>
    <w:rsid w:val="00A661BF"/>
    <w:rsid w:val="00A75500"/>
    <w:rsid w:val="00A860CF"/>
    <w:rsid w:val="00A91E18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323EC"/>
    <w:rsid w:val="00B53B4A"/>
    <w:rsid w:val="00B67D97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16C7"/>
    <w:rsid w:val="00BD47EE"/>
    <w:rsid w:val="00BE7CCF"/>
    <w:rsid w:val="00C108E8"/>
    <w:rsid w:val="00C11BB3"/>
    <w:rsid w:val="00C14F81"/>
    <w:rsid w:val="00C15A5A"/>
    <w:rsid w:val="00C30108"/>
    <w:rsid w:val="00C46DCD"/>
    <w:rsid w:val="00C5772F"/>
    <w:rsid w:val="00C61F23"/>
    <w:rsid w:val="00C94EEF"/>
    <w:rsid w:val="00C94F1E"/>
    <w:rsid w:val="00C954D7"/>
    <w:rsid w:val="00CB058A"/>
    <w:rsid w:val="00CB07FB"/>
    <w:rsid w:val="00CC3A32"/>
    <w:rsid w:val="00CD224F"/>
    <w:rsid w:val="00CE4639"/>
    <w:rsid w:val="00D01EB0"/>
    <w:rsid w:val="00D10F20"/>
    <w:rsid w:val="00D15C4A"/>
    <w:rsid w:val="00D36754"/>
    <w:rsid w:val="00D43F00"/>
    <w:rsid w:val="00D4558E"/>
    <w:rsid w:val="00D54E86"/>
    <w:rsid w:val="00D61E68"/>
    <w:rsid w:val="00D7617E"/>
    <w:rsid w:val="00D83481"/>
    <w:rsid w:val="00D862AE"/>
    <w:rsid w:val="00D96ADE"/>
    <w:rsid w:val="00DC26D8"/>
    <w:rsid w:val="00DD1240"/>
    <w:rsid w:val="00DE7402"/>
    <w:rsid w:val="00DF3C14"/>
    <w:rsid w:val="00DF6BEC"/>
    <w:rsid w:val="00E02924"/>
    <w:rsid w:val="00E063E2"/>
    <w:rsid w:val="00E10DED"/>
    <w:rsid w:val="00E50316"/>
    <w:rsid w:val="00E717BB"/>
    <w:rsid w:val="00E9071F"/>
    <w:rsid w:val="00E92D0A"/>
    <w:rsid w:val="00EA1951"/>
    <w:rsid w:val="00EA75D6"/>
    <w:rsid w:val="00EB53F7"/>
    <w:rsid w:val="00EC3DD0"/>
    <w:rsid w:val="00ED643E"/>
    <w:rsid w:val="00ED6D68"/>
    <w:rsid w:val="00EE0472"/>
    <w:rsid w:val="00EF6205"/>
    <w:rsid w:val="00F008B8"/>
    <w:rsid w:val="00F12721"/>
    <w:rsid w:val="00F1442B"/>
    <w:rsid w:val="00F23445"/>
    <w:rsid w:val="00F23F96"/>
    <w:rsid w:val="00F24730"/>
    <w:rsid w:val="00F25165"/>
    <w:rsid w:val="00F34BDA"/>
    <w:rsid w:val="00F36558"/>
    <w:rsid w:val="00F36E2C"/>
    <w:rsid w:val="00F37019"/>
    <w:rsid w:val="00F43751"/>
    <w:rsid w:val="00F524AF"/>
    <w:rsid w:val="00F5269C"/>
    <w:rsid w:val="00F72AE9"/>
    <w:rsid w:val="00F73275"/>
    <w:rsid w:val="00F90280"/>
    <w:rsid w:val="00F93922"/>
    <w:rsid w:val="00FC13E8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09"/>
  </w:style>
  <w:style w:type="paragraph" w:styleId="Footer">
    <w:name w:val="footer"/>
    <w:basedOn w:val="Normal"/>
    <w:link w:val="Foot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09"/>
  </w:style>
  <w:style w:type="paragraph" w:styleId="BodyTextIndent2">
    <w:name w:val="Body Text Indent 2"/>
    <w:basedOn w:val="Normal"/>
    <w:link w:val="BodyTextIndent2Char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38C7"/>
    <w:rPr>
      <w:rFonts w:eastAsia="SimSun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Revision">
    <w:name w:val="Revision"/>
    <w:hidden/>
    <w:uiPriority w:val="99"/>
    <w:semiHidden/>
    <w:rsid w:val="00612CD6"/>
    <w:pPr>
      <w:spacing w:line="240" w:lineRule="auto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5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23EC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C2A52"/>
  </w:style>
  <w:style w:type="paragraph" w:styleId="NoSpacing">
    <w:name w:val="No Spacing"/>
    <w:link w:val="NoSpacingChar"/>
    <w:uiPriority w:val="1"/>
    <w:qFormat/>
    <w:rsid w:val="006C2A52"/>
    <w:pPr>
      <w:spacing w:line="240" w:lineRule="auto"/>
      <w:ind w:firstLine="6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.gleb@vatzu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51C9-030D-4B51-93E6-E42FD22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Beata Miloš</cp:lastModifiedBy>
  <cp:revision>3</cp:revision>
  <cp:lastPrinted>2022-02-18T13:13:00Z</cp:lastPrinted>
  <dcterms:created xsi:type="dcterms:W3CDTF">2026-04-17T10:48:00Z</dcterms:created>
  <dcterms:modified xsi:type="dcterms:W3CDTF">2026-04-17T10:50:00Z</dcterms:modified>
</cp:coreProperties>
</file>