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C82C5" w14:textId="1D308B26" w:rsidR="00D50AF0" w:rsidRDefault="00D50AF0" w:rsidP="00D50AF0">
      <w:pPr>
        <w:jc w:val="right"/>
        <w:rPr>
          <w:b/>
        </w:rPr>
      </w:pPr>
      <w:r>
        <w:rPr>
          <w:b/>
        </w:rPr>
        <w:t>Projektas</w:t>
      </w:r>
    </w:p>
    <w:p w14:paraId="71693DB9" w14:textId="4AFA2E3C" w:rsidR="000A7826" w:rsidRPr="00197367" w:rsidRDefault="000A7826" w:rsidP="00197367">
      <w:pPr>
        <w:jc w:val="center"/>
        <w:rPr>
          <w:b/>
        </w:rPr>
      </w:pPr>
      <w:r w:rsidRPr="00197367">
        <w:rPr>
          <w:b/>
        </w:rPr>
        <w:t>TECHNINĖ SPECIFIKACIJA</w:t>
      </w:r>
    </w:p>
    <w:p w14:paraId="6D71C795" w14:textId="77777777" w:rsidR="0024305C" w:rsidRPr="00197367" w:rsidRDefault="0024305C" w:rsidP="00295F50">
      <w:pPr>
        <w:rPr>
          <w:b/>
        </w:rPr>
      </w:pPr>
    </w:p>
    <w:p w14:paraId="27016100" w14:textId="36F5E70D" w:rsidR="00E30C33" w:rsidRPr="00E30C33" w:rsidRDefault="00E30C33" w:rsidP="00C10CEB">
      <w:pPr>
        <w:jc w:val="center"/>
        <w:rPr>
          <w:b/>
        </w:rPr>
      </w:pPr>
      <w:r w:rsidRPr="00E30C33">
        <w:rPr>
          <w:b/>
        </w:rPr>
        <w:t xml:space="preserve">Valdymo, optimizavimo ir monitoringo programinės įrangos FOSS įrenginiams (prietaisams „Infratec“) IQX </w:t>
      </w:r>
      <w:r w:rsidRPr="007A10AE">
        <w:rPr>
          <w:b/>
        </w:rPr>
        <w:t xml:space="preserve">One </w:t>
      </w:r>
      <w:r w:rsidR="00695EF5" w:rsidRPr="007A10AE">
        <w:rPr>
          <w:b/>
        </w:rPr>
        <w:t xml:space="preserve">arba lygiavertė </w:t>
      </w:r>
      <w:r w:rsidRPr="007A10AE">
        <w:rPr>
          <w:b/>
        </w:rPr>
        <w:t>me</w:t>
      </w:r>
      <w:r w:rsidRPr="00E30C33">
        <w:rPr>
          <w:b/>
        </w:rPr>
        <w:t>tinė licencija, skirta centralizuoto administravimo ir duomenų valdymo vieningame tinkle paslaugoms</w:t>
      </w:r>
    </w:p>
    <w:p w14:paraId="4C64D0D2" w14:textId="77777777" w:rsidR="00ED557B" w:rsidRPr="00197367" w:rsidRDefault="00ED557B" w:rsidP="00295F50"/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6096"/>
      </w:tblGrid>
      <w:tr w:rsidR="00295F50" w:rsidRPr="00197367" w14:paraId="4A35579C" w14:textId="77777777" w:rsidTr="003073E6">
        <w:tc>
          <w:tcPr>
            <w:tcW w:w="709" w:type="dxa"/>
          </w:tcPr>
          <w:p w14:paraId="52ABF16A" w14:textId="77777777" w:rsidR="00295F50" w:rsidRPr="00197367" w:rsidRDefault="00916D34" w:rsidP="00916D34">
            <w:pPr>
              <w:rPr>
                <w:b/>
              </w:rPr>
            </w:pPr>
            <w:r w:rsidRPr="00197367">
              <w:rPr>
                <w:b/>
              </w:rPr>
              <w:t>Eil.</w:t>
            </w:r>
            <w:r w:rsidR="00295F50" w:rsidRPr="00197367">
              <w:rPr>
                <w:b/>
              </w:rPr>
              <w:t xml:space="preserve"> Nr.</w:t>
            </w:r>
          </w:p>
        </w:tc>
        <w:tc>
          <w:tcPr>
            <w:tcW w:w="2693" w:type="dxa"/>
          </w:tcPr>
          <w:p w14:paraId="29594348" w14:textId="77777777" w:rsidR="00295F50" w:rsidRPr="00197367" w:rsidRDefault="00295F50" w:rsidP="005C598C">
            <w:pPr>
              <w:rPr>
                <w:b/>
              </w:rPr>
            </w:pPr>
            <w:r w:rsidRPr="00197367">
              <w:rPr>
                <w:b/>
              </w:rPr>
              <w:t>Rodiklis</w:t>
            </w:r>
          </w:p>
        </w:tc>
        <w:tc>
          <w:tcPr>
            <w:tcW w:w="6096" w:type="dxa"/>
          </w:tcPr>
          <w:p w14:paraId="6076D77A" w14:textId="77777777" w:rsidR="00295F50" w:rsidRPr="00197367" w:rsidRDefault="00295F50" w:rsidP="005C598C">
            <w:pPr>
              <w:rPr>
                <w:b/>
              </w:rPr>
            </w:pPr>
            <w:r w:rsidRPr="00197367">
              <w:rPr>
                <w:b/>
              </w:rPr>
              <w:t>Minimalūs reikalavimai rodikliui</w:t>
            </w:r>
          </w:p>
        </w:tc>
      </w:tr>
      <w:tr w:rsidR="002E0594" w:rsidRPr="00197367" w14:paraId="56D5752B" w14:textId="77777777" w:rsidTr="003073E6">
        <w:tc>
          <w:tcPr>
            <w:tcW w:w="709" w:type="dxa"/>
          </w:tcPr>
          <w:p w14:paraId="7B6ED1E9" w14:textId="77777777" w:rsidR="002E0594" w:rsidRPr="00197367" w:rsidRDefault="002E0594" w:rsidP="005C598C">
            <w:r w:rsidRPr="00197367">
              <w:t>1</w:t>
            </w:r>
            <w:r w:rsidR="0024305C" w:rsidRPr="00197367">
              <w:t>.</w:t>
            </w:r>
          </w:p>
        </w:tc>
        <w:tc>
          <w:tcPr>
            <w:tcW w:w="2693" w:type="dxa"/>
          </w:tcPr>
          <w:p w14:paraId="6577DA78" w14:textId="77777777" w:rsidR="002E0594" w:rsidRPr="00197367" w:rsidRDefault="001672DF" w:rsidP="00EE7F06">
            <w:r w:rsidRPr="00197367">
              <w:t>Paskirtis</w:t>
            </w:r>
          </w:p>
        </w:tc>
        <w:tc>
          <w:tcPr>
            <w:tcW w:w="6096" w:type="dxa"/>
          </w:tcPr>
          <w:p w14:paraId="42050D21" w14:textId="075C6877" w:rsidR="002E0594" w:rsidRPr="00197367" w:rsidRDefault="003073E6" w:rsidP="002333DE">
            <w:pPr>
              <w:jc w:val="both"/>
            </w:pPr>
            <w:r w:rsidRPr="00197367">
              <w:t xml:space="preserve">Skirta </w:t>
            </w:r>
            <w:r w:rsidR="001672DF" w:rsidRPr="00197367">
              <w:t xml:space="preserve">grūdų analizatorių </w:t>
            </w:r>
            <w:r w:rsidR="005E5686">
              <w:t>„</w:t>
            </w:r>
            <w:r w:rsidR="001D0E20" w:rsidRPr="00197367">
              <w:t>Infratec</w:t>
            </w:r>
            <w:r w:rsidR="005E5686">
              <w:t>“</w:t>
            </w:r>
            <w:r w:rsidR="001D0E20" w:rsidRPr="00197367">
              <w:t xml:space="preserve"> </w:t>
            </w:r>
            <w:r w:rsidR="001672DF" w:rsidRPr="00197367">
              <w:t>tinkl</w:t>
            </w:r>
            <w:r w:rsidR="00EB0F95" w:rsidRPr="00197367">
              <w:t>ui</w:t>
            </w:r>
            <w:r w:rsidR="001672DF" w:rsidRPr="00197367">
              <w:t xml:space="preserve"> </w:t>
            </w:r>
            <w:r w:rsidRPr="00197367">
              <w:t>centralizuota</w:t>
            </w:r>
            <w:r w:rsidR="00EB0F95" w:rsidRPr="00197367">
              <w:t>i</w:t>
            </w:r>
            <w:r w:rsidRPr="00197367">
              <w:t xml:space="preserve"> administr</w:t>
            </w:r>
            <w:r w:rsidR="00EB0F95" w:rsidRPr="00197367">
              <w:t>uoti</w:t>
            </w:r>
            <w:r w:rsidRPr="00197367">
              <w:t xml:space="preserve">, </w:t>
            </w:r>
            <w:r w:rsidR="002333DE" w:rsidRPr="00197367">
              <w:t>duomenims kaupti</w:t>
            </w:r>
            <w:r w:rsidR="00C10CEB">
              <w:t xml:space="preserve"> bei</w:t>
            </w:r>
            <w:r w:rsidR="002333DE">
              <w:t xml:space="preserve"> sisteminti ir pateikti,</w:t>
            </w:r>
            <w:r w:rsidR="002333DE" w:rsidRPr="00197367">
              <w:t xml:space="preserve"> </w:t>
            </w:r>
            <w:r w:rsidR="001672DF" w:rsidRPr="00197367">
              <w:t>kalibraci</w:t>
            </w:r>
            <w:r w:rsidR="004033ED" w:rsidRPr="00197367">
              <w:t>n</w:t>
            </w:r>
            <w:r w:rsidR="00EB0F95" w:rsidRPr="00197367">
              <w:t>ėms</w:t>
            </w:r>
            <w:r w:rsidR="004033ED" w:rsidRPr="00197367">
              <w:t xml:space="preserve"> lyg</w:t>
            </w:r>
            <w:r w:rsidR="00EB0F95" w:rsidRPr="00197367">
              <w:t>tims</w:t>
            </w:r>
            <w:r w:rsidR="001672DF" w:rsidRPr="00197367">
              <w:t xml:space="preserve"> </w:t>
            </w:r>
            <w:r w:rsidR="00EB0F95" w:rsidRPr="00197367">
              <w:t xml:space="preserve">sudaryti, koreguoti, </w:t>
            </w:r>
            <w:r w:rsidR="001672DF" w:rsidRPr="00197367">
              <w:t>atnaujin</w:t>
            </w:r>
            <w:r w:rsidR="00EB0F95" w:rsidRPr="00197367">
              <w:t>ti</w:t>
            </w:r>
            <w:r w:rsidR="002E56A3">
              <w:t>.</w:t>
            </w:r>
          </w:p>
        </w:tc>
      </w:tr>
      <w:tr w:rsidR="002E0594" w:rsidRPr="00197367" w14:paraId="72294C41" w14:textId="77777777" w:rsidTr="003073E6">
        <w:tc>
          <w:tcPr>
            <w:tcW w:w="709" w:type="dxa"/>
          </w:tcPr>
          <w:p w14:paraId="55FCC5B7" w14:textId="77777777" w:rsidR="002E0594" w:rsidRPr="00197367" w:rsidRDefault="002E0594" w:rsidP="005C598C">
            <w:r w:rsidRPr="00197367">
              <w:t>2</w:t>
            </w:r>
            <w:r w:rsidR="0024305C" w:rsidRPr="00197367">
              <w:t>.</w:t>
            </w:r>
          </w:p>
        </w:tc>
        <w:tc>
          <w:tcPr>
            <w:tcW w:w="2693" w:type="dxa"/>
          </w:tcPr>
          <w:p w14:paraId="5D39E82D" w14:textId="77777777" w:rsidR="002E0594" w:rsidRPr="002E56A3" w:rsidRDefault="002E56A3" w:rsidP="001672DF">
            <w:r w:rsidRPr="002E56A3">
              <w:t>Sistemos komponentai</w:t>
            </w:r>
            <w:r w:rsidR="003073E6" w:rsidRPr="002E56A3">
              <w:t>:</w:t>
            </w:r>
          </w:p>
          <w:p w14:paraId="118CF95E" w14:textId="77777777" w:rsidR="003073E6" w:rsidRPr="002E56A3" w:rsidRDefault="003073E6" w:rsidP="00197367">
            <w:pPr>
              <w:numPr>
                <w:ilvl w:val="0"/>
                <w:numId w:val="1"/>
              </w:numPr>
              <w:ind w:left="261" w:hanging="227"/>
            </w:pPr>
            <w:r w:rsidRPr="002E56A3">
              <w:t>Programinė įranga</w:t>
            </w:r>
          </w:p>
          <w:p w14:paraId="684737A7" w14:textId="77777777" w:rsidR="003073E6" w:rsidRPr="002E56A3" w:rsidRDefault="003073E6" w:rsidP="00197367">
            <w:pPr>
              <w:numPr>
                <w:ilvl w:val="0"/>
                <w:numId w:val="1"/>
              </w:numPr>
              <w:ind w:left="261" w:hanging="227"/>
            </w:pPr>
            <w:r w:rsidRPr="002E56A3">
              <w:t>D</w:t>
            </w:r>
            <w:r w:rsidR="000A7826" w:rsidRPr="002E56A3">
              <w:t>ebesų kompiuterijos</w:t>
            </w:r>
            <w:r w:rsidRPr="002E56A3">
              <w:t xml:space="preserve"> paslauga</w:t>
            </w:r>
            <w:r w:rsidR="000A7826" w:rsidRPr="002E56A3">
              <w:t xml:space="preserve"> (toliau </w:t>
            </w:r>
            <w:r w:rsidR="001D0E20" w:rsidRPr="002E56A3">
              <w:t>‒</w:t>
            </w:r>
            <w:r w:rsidR="000A7826" w:rsidRPr="002E56A3">
              <w:t xml:space="preserve"> DK)</w:t>
            </w:r>
          </w:p>
          <w:p w14:paraId="0F2EFDD4" w14:textId="77777777" w:rsidR="003073E6" w:rsidRPr="002E56A3" w:rsidRDefault="003073E6" w:rsidP="001D0E20">
            <w:pPr>
              <w:ind w:left="317" w:hanging="283"/>
            </w:pPr>
          </w:p>
          <w:p w14:paraId="18CC60AB" w14:textId="77777777" w:rsidR="003073E6" w:rsidRPr="002E56A3" w:rsidRDefault="003073E6" w:rsidP="001D0E20">
            <w:pPr>
              <w:numPr>
                <w:ilvl w:val="0"/>
                <w:numId w:val="1"/>
              </w:numPr>
              <w:ind w:left="317" w:hanging="283"/>
            </w:pPr>
            <w:r w:rsidRPr="002E56A3">
              <w:t>Metinė licencija</w:t>
            </w:r>
          </w:p>
        </w:tc>
        <w:tc>
          <w:tcPr>
            <w:tcW w:w="6096" w:type="dxa"/>
          </w:tcPr>
          <w:p w14:paraId="73A551DD" w14:textId="77777777" w:rsidR="003073E6" w:rsidRPr="002E56A3" w:rsidRDefault="003073E6" w:rsidP="002E56A3">
            <w:pPr>
              <w:jc w:val="both"/>
            </w:pPr>
            <w:r w:rsidRPr="002E56A3">
              <w:t>Centralizuoto valdymo programinė įranga turi būti diegiama vartotojo kompiuter</w:t>
            </w:r>
            <w:r w:rsidR="002A751A" w:rsidRPr="002E56A3">
              <w:t>iuose</w:t>
            </w:r>
            <w:r w:rsidR="000A7826" w:rsidRPr="002E56A3">
              <w:t xml:space="preserve">. </w:t>
            </w:r>
          </w:p>
          <w:p w14:paraId="28429202" w14:textId="77777777" w:rsidR="000A7826" w:rsidRPr="002E56A3" w:rsidRDefault="003073E6" w:rsidP="002E56A3">
            <w:pPr>
              <w:jc w:val="both"/>
            </w:pPr>
            <w:r w:rsidRPr="002E56A3">
              <w:t>Gamintojo tiekiamos DK serverio paslaugos</w:t>
            </w:r>
            <w:r w:rsidR="000A7826" w:rsidRPr="002E56A3">
              <w:t xml:space="preserve"> 24 val. per parą, 7 dienas per savaitę</w:t>
            </w:r>
            <w:r w:rsidRPr="002E56A3">
              <w:t xml:space="preserve">. </w:t>
            </w:r>
          </w:p>
          <w:p w14:paraId="1CE820FC" w14:textId="77777777" w:rsidR="003073E6" w:rsidRPr="002E56A3" w:rsidRDefault="003073E6" w:rsidP="002E56A3">
            <w:pPr>
              <w:jc w:val="both"/>
            </w:pPr>
            <w:r w:rsidRPr="002E56A3">
              <w:t>Aptarnavimą ir gedimų šalinimą vykdo gamintojas</w:t>
            </w:r>
            <w:r w:rsidR="000A7826" w:rsidRPr="002E56A3">
              <w:t>.</w:t>
            </w:r>
          </w:p>
          <w:p w14:paraId="10461740" w14:textId="21C42D50" w:rsidR="004033ED" w:rsidRPr="002E56A3" w:rsidRDefault="004033ED" w:rsidP="002E56A3">
            <w:pPr>
              <w:jc w:val="both"/>
            </w:pPr>
          </w:p>
          <w:p w14:paraId="707AED10" w14:textId="77777777" w:rsidR="00527CC2" w:rsidRDefault="00C10CEB" w:rsidP="00AE5034">
            <w:pPr>
              <w:jc w:val="both"/>
              <w:rPr>
                <w:color w:val="000000"/>
                <w:lang w:eastAsia="ar-SA"/>
              </w:rPr>
            </w:pPr>
            <w:r w:rsidRPr="002E56A3">
              <w:t>Licencijos mokestis</w:t>
            </w:r>
            <w:r w:rsidR="003073E6" w:rsidRPr="002E56A3">
              <w:t xml:space="preserve"> turi būti skaičiuojamas pagal a</w:t>
            </w:r>
            <w:r w:rsidR="0024305C" w:rsidRPr="002E56A3">
              <w:t xml:space="preserve">ktyvių </w:t>
            </w:r>
            <w:r w:rsidR="002E56A3" w:rsidRPr="002E56A3">
              <w:t xml:space="preserve">prietaisų </w:t>
            </w:r>
            <w:r w:rsidR="005E5686">
              <w:t>„</w:t>
            </w:r>
            <w:r w:rsidR="0024305C" w:rsidRPr="002E56A3">
              <w:t>Infratec</w:t>
            </w:r>
            <w:r w:rsidR="005E5686">
              <w:t>“</w:t>
            </w:r>
            <w:r w:rsidR="004033ED" w:rsidRPr="002E56A3">
              <w:t>, įjungtų į tinklą,</w:t>
            </w:r>
            <w:r w:rsidR="0024305C" w:rsidRPr="002E56A3">
              <w:t xml:space="preserve"> kiekį. </w:t>
            </w:r>
            <w:r w:rsidR="0024305C" w:rsidRPr="002E56A3">
              <w:rPr>
                <w:color w:val="000000"/>
                <w:lang w:eastAsia="ar-SA"/>
              </w:rPr>
              <w:t xml:space="preserve">Naujai </w:t>
            </w:r>
            <w:r w:rsidR="00AE5034">
              <w:rPr>
                <w:color w:val="000000"/>
                <w:lang w:eastAsia="ar-SA"/>
              </w:rPr>
              <w:t>į</w:t>
            </w:r>
            <w:r w:rsidR="0024305C" w:rsidRPr="002E56A3">
              <w:rPr>
                <w:color w:val="000000"/>
                <w:lang w:eastAsia="ar-SA"/>
              </w:rPr>
              <w:t>jungtiems prietaisams taikomi sutartyje ir viešojo pirkimo pasiūlyme nurodyti įkainiai, kurių galiojimo laikas yra ne ilgesnis kaip sutartyje nustatytas terminas.</w:t>
            </w:r>
          </w:p>
          <w:p w14:paraId="6BF6B276" w14:textId="3F1BE5EF" w:rsidR="003073E6" w:rsidRPr="002E56A3" w:rsidRDefault="00527CC2" w:rsidP="00527CC2">
            <w:pPr>
              <w:jc w:val="both"/>
            </w:pPr>
            <w:r>
              <w:t>M</w:t>
            </w:r>
            <w:r w:rsidRPr="002E56A3">
              <w:t xml:space="preserve">okestis mokamas kartą per </w:t>
            </w:r>
            <w:r>
              <w:t>mėnesį pagal sąskaitą, gautą per SABIS sistemą.</w:t>
            </w:r>
          </w:p>
        </w:tc>
      </w:tr>
      <w:tr w:rsidR="002E0594" w:rsidRPr="00197367" w14:paraId="5302D22F" w14:textId="77777777" w:rsidTr="003073E6">
        <w:tc>
          <w:tcPr>
            <w:tcW w:w="709" w:type="dxa"/>
          </w:tcPr>
          <w:p w14:paraId="355F4F54" w14:textId="77777777" w:rsidR="002E0594" w:rsidRPr="00197367" w:rsidRDefault="002E0594" w:rsidP="005C598C">
            <w:r w:rsidRPr="00197367">
              <w:t>3</w:t>
            </w:r>
            <w:r w:rsidR="0024305C" w:rsidRPr="00197367">
              <w:t>.</w:t>
            </w:r>
          </w:p>
        </w:tc>
        <w:tc>
          <w:tcPr>
            <w:tcW w:w="2693" w:type="dxa"/>
          </w:tcPr>
          <w:p w14:paraId="24730AC8" w14:textId="77777777" w:rsidR="002E0594" w:rsidRPr="00197367" w:rsidRDefault="003073E6" w:rsidP="003073E6">
            <w:r w:rsidRPr="00197367">
              <w:t>Programinės įrangos atnaujinimas</w:t>
            </w:r>
          </w:p>
        </w:tc>
        <w:tc>
          <w:tcPr>
            <w:tcW w:w="6096" w:type="dxa"/>
          </w:tcPr>
          <w:p w14:paraId="6C715626" w14:textId="77777777" w:rsidR="002E0594" w:rsidRPr="00197367" w:rsidRDefault="00AE5034" w:rsidP="00AE5034">
            <w:pPr>
              <w:jc w:val="both"/>
            </w:pPr>
            <w:r>
              <w:t>S</w:t>
            </w:r>
            <w:r w:rsidRPr="00197367">
              <w:t>utarties galiojimo laikotarpiu</w:t>
            </w:r>
            <w:r>
              <w:t xml:space="preserve"> v</w:t>
            </w:r>
            <w:r w:rsidR="003073E6" w:rsidRPr="00197367">
              <w:t>ykdomas gamintojo nemok</w:t>
            </w:r>
            <w:r w:rsidR="001D0E20" w:rsidRPr="00197367">
              <w:t>am</w:t>
            </w:r>
            <w:r>
              <w:t>ai.</w:t>
            </w:r>
            <w:r w:rsidR="003073E6" w:rsidRPr="00197367">
              <w:t xml:space="preserve"> </w:t>
            </w:r>
          </w:p>
        </w:tc>
      </w:tr>
      <w:tr w:rsidR="00C173B2" w:rsidRPr="00197367" w14:paraId="7AC889AB" w14:textId="77777777" w:rsidTr="003073E6">
        <w:tc>
          <w:tcPr>
            <w:tcW w:w="709" w:type="dxa"/>
          </w:tcPr>
          <w:p w14:paraId="2E4641F2" w14:textId="77777777" w:rsidR="00C173B2" w:rsidRPr="00197367" w:rsidRDefault="00C173B2" w:rsidP="005C598C">
            <w:r w:rsidRPr="00197367">
              <w:t>4</w:t>
            </w:r>
            <w:r w:rsidR="0024305C" w:rsidRPr="00197367">
              <w:t>.</w:t>
            </w:r>
          </w:p>
        </w:tc>
        <w:tc>
          <w:tcPr>
            <w:tcW w:w="2693" w:type="dxa"/>
          </w:tcPr>
          <w:p w14:paraId="585CB7D4" w14:textId="77777777" w:rsidR="00C173B2" w:rsidRPr="00197367" w:rsidRDefault="00CA16EA" w:rsidP="00EE7F06">
            <w:r w:rsidRPr="00197367">
              <w:t>Paslaugų tiekimas</w:t>
            </w:r>
          </w:p>
        </w:tc>
        <w:tc>
          <w:tcPr>
            <w:tcW w:w="6096" w:type="dxa"/>
          </w:tcPr>
          <w:p w14:paraId="780534D3" w14:textId="77777777" w:rsidR="00C173B2" w:rsidRPr="00197367" w:rsidRDefault="00CA16EA" w:rsidP="002E56A3">
            <w:pPr>
              <w:jc w:val="both"/>
            </w:pPr>
            <w:r w:rsidRPr="00197367">
              <w:t>24 val. per parą, 7 dienas per savaitę</w:t>
            </w:r>
            <w:r w:rsidR="0024305C" w:rsidRPr="00197367">
              <w:t>.</w:t>
            </w:r>
          </w:p>
        </w:tc>
      </w:tr>
      <w:tr w:rsidR="001672DF" w:rsidRPr="00197367" w14:paraId="2B9BB93D" w14:textId="77777777" w:rsidTr="003073E6">
        <w:tc>
          <w:tcPr>
            <w:tcW w:w="709" w:type="dxa"/>
          </w:tcPr>
          <w:p w14:paraId="7A56719C" w14:textId="77777777" w:rsidR="001672DF" w:rsidRPr="00197367" w:rsidRDefault="001672DF" w:rsidP="005C598C">
            <w:r w:rsidRPr="00197367">
              <w:t>5</w:t>
            </w:r>
            <w:r w:rsidR="0024305C" w:rsidRPr="00197367">
              <w:t>.</w:t>
            </w:r>
          </w:p>
        </w:tc>
        <w:tc>
          <w:tcPr>
            <w:tcW w:w="2693" w:type="dxa"/>
          </w:tcPr>
          <w:p w14:paraId="61515DB0" w14:textId="77777777" w:rsidR="001672DF" w:rsidRPr="00197367" w:rsidRDefault="00CA16EA" w:rsidP="001672DF">
            <w:r w:rsidRPr="00197367">
              <w:t>Mokymas</w:t>
            </w:r>
          </w:p>
        </w:tc>
        <w:tc>
          <w:tcPr>
            <w:tcW w:w="6096" w:type="dxa"/>
          </w:tcPr>
          <w:p w14:paraId="0984180F" w14:textId="77777777" w:rsidR="001672DF" w:rsidRPr="00197367" w:rsidRDefault="00CA16EA" w:rsidP="002E56A3">
            <w:pPr>
              <w:jc w:val="both"/>
            </w:pPr>
            <w:r w:rsidRPr="00197367">
              <w:t>Turi būti</w:t>
            </w:r>
            <w:r w:rsidR="0024305C" w:rsidRPr="00197367">
              <w:t xml:space="preserve"> sudaryta galimybė internetiniams</w:t>
            </w:r>
            <w:r w:rsidRPr="00197367">
              <w:t xml:space="preserve"> mokymo kursa</w:t>
            </w:r>
            <w:r w:rsidR="0024305C" w:rsidRPr="00197367">
              <w:t>ms.</w:t>
            </w:r>
          </w:p>
        </w:tc>
      </w:tr>
      <w:tr w:rsidR="00650B6A" w:rsidRPr="00197367" w14:paraId="6C64096A" w14:textId="77777777" w:rsidTr="003073E6">
        <w:tc>
          <w:tcPr>
            <w:tcW w:w="709" w:type="dxa"/>
          </w:tcPr>
          <w:p w14:paraId="101E1F12" w14:textId="77777777" w:rsidR="00650B6A" w:rsidRPr="00197367" w:rsidRDefault="00650B6A" w:rsidP="005C598C">
            <w:r w:rsidRPr="00197367">
              <w:t>6</w:t>
            </w:r>
            <w:r w:rsidR="0024305C" w:rsidRPr="00197367">
              <w:t>.</w:t>
            </w:r>
          </w:p>
        </w:tc>
        <w:tc>
          <w:tcPr>
            <w:tcW w:w="2693" w:type="dxa"/>
          </w:tcPr>
          <w:p w14:paraId="6E9ABB12" w14:textId="77777777" w:rsidR="00650B6A" w:rsidRPr="00197367" w:rsidRDefault="00CA16EA" w:rsidP="00CA16EA">
            <w:r w:rsidRPr="00197367">
              <w:t>Administravimo pagalba</w:t>
            </w:r>
          </w:p>
        </w:tc>
        <w:tc>
          <w:tcPr>
            <w:tcW w:w="6096" w:type="dxa"/>
          </w:tcPr>
          <w:p w14:paraId="410790F5" w14:textId="77777777" w:rsidR="00650B6A" w:rsidRPr="00197367" w:rsidRDefault="00CA16EA" w:rsidP="002E56A3">
            <w:pPr>
              <w:jc w:val="both"/>
            </w:pPr>
            <w:r w:rsidRPr="00197367">
              <w:t>Tiekėjas turi sudaryti Pirkėjui galimybę savarankiškai registruoti sistemos sutrikimus ir spręsti problemas tiesiogiai su gamintojo pagalba</w:t>
            </w:r>
            <w:r w:rsidR="0024305C" w:rsidRPr="00197367">
              <w:t>.</w:t>
            </w:r>
          </w:p>
          <w:p w14:paraId="5A50E4BD" w14:textId="77777777" w:rsidR="0024305C" w:rsidRPr="00197367" w:rsidRDefault="0024305C" w:rsidP="002E56A3">
            <w:pPr>
              <w:jc w:val="both"/>
            </w:pPr>
            <w:r w:rsidRPr="00197367">
              <w:t>Konsultuoti atsakingą sistemos vartotoją darbo dienomis 08:00 – 17:00, o penktadienį ir prieššventinėmis dienomis 08:00 – 16:00 elektroniniu paštu, telefonu, tiekėjo HelpDesk sistemoje arba pagal išankstinį iškvietimą darbo vietoje.</w:t>
            </w:r>
          </w:p>
        </w:tc>
      </w:tr>
      <w:tr w:rsidR="009613C8" w:rsidRPr="00197367" w14:paraId="35DE2A11" w14:textId="77777777" w:rsidTr="003073E6">
        <w:tc>
          <w:tcPr>
            <w:tcW w:w="709" w:type="dxa"/>
          </w:tcPr>
          <w:p w14:paraId="7088283A" w14:textId="30369025" w:rsidR="009613C8" w:rsidRPr="00197367" w:rsidRDefault="009613C8" w:rsidP="009613C8">
            <w:r w:rsidRPr="00197367">
              <w:t>7.</w:t>
            </w:r>
          </w:p>
        </w:tc>
        <w:tc>
          <w:tcPr>
            <w:tcW w:w="2693" w:type="dxa"/>
          </w:tcPr>
          <w:p w14:paraId="327C1E4D" w14:textId="21FAD079" w:rsidR="009613C8" w:rsidRPr="00197367" w:rsidRDefault="009613C8" w:rsidP="009613C8">
            <w:r w:rsidRPr="00197367">
              <w:t>Duomenų konfidencialumas</w:t>
            </w:r>
          </w:p>
        </w:tc>
        <w:tc>
          <w:tcPr>
            <w:tcW w:w="6096" w:type="dxa"/>
          </w:tcPr>
          <w:p w14:paraId="5EA332BB" w14:textId="2E1C8282" w:rsidR="009613C8" w:rsidRPr="00197367" w:rsidRDefault="009613C8" w:rsidP="009613C8">
            <w:pPr>
              <w:jc w:val="both"/>
            </w:pPr>
            <w:r w:rsidRPr="00197367">
              <w:t>Turi būti užtikrintas Pirkėjo duomenų, esančių duomenų bazėje</w:t>
            </w:r>
            <w:r>
              <w:t>,</w:t>
            </w:r>
            <w:r w:rsidRPr="00197367">
              <w:t xml:space="preserve"> konfidencialumas.</w:t>
            </w:r>
          </w:p>
        </w:tc>
      </w:tr>
      <w:tr w:rsidR="009613C8" w:rsidRPr="00197367" w14:paraId="2D36BE00" w14:textId="77777777" w:rsidTr="003073E6">
        <w:tc>
          <w:tcPr>
            <w:tcW w:w="709" w:type="dxa"/>
          </w:tcPr>
          <w:p w14:paraId="54CA10C8" w14:textId="55114941" w:rsidR="009613C8" w:rsidRPr="00197367" w:rsidRDefault="009613C8" w:rsidP="009613C8">
            <w:r w:rsidRPr="00197367">
              <w:t>8.</w:t>
            </w:r>
          </w:p>
        </w:tc>
        <w:tc>
          <w:tcPr>
            <w:tcW w:w="2693" w:type="dxa"/>
          </w:tcPr>
          <w:p w14:paraId="66F2AA70" w14:textId="16C772D2" w:rsidR="009613C8" w:rsidRPr="00197367" w:rsidRDefault="009613C8" w:rsidP="009613C8">
            <w:r w:rsidRPr="00197367">
              <w:t>Duomenų nuosavybė</w:t>
            </w:r>
          </w:p>
        </w:tc>
        <w:tc>
          <w:tcPr>
            <w:tcW w:w="6096" w:type="dxa"/>
          </w:tcPr>
          <w:p w14:paraId="0681661B" w14:textId="7C8CA19A" w:rsidR="009613C8" w:rsidRPr="00197367" w:rsidRDefault="009613C8" w:rsidP="009613C8">
            <w:pPr>
              <w:jc w:val="both"/>
            </w:pPr>
            <w:r w:rsidRPr="00197367">
              <w:t>Duomenys turi būti tik Pirkėjo nuosavybėje.</w:t>
            </w:r>
          </w:p>
        </w:tc>
      </w:tr>
      <w:tr w:rsidR="009613C8" w:rsidRPr="00197367" w14:paraId="741EA705" w14:textId="77777777" w:rsidTr="003073E6">
        <w:tc>
          <w:tcPr>
            <w:tcW w:w="709" w:type="dxa"/>
          </w:tcPr>
          <w:p w14:paraId="2823D593" w14:textId="6B14E3B7" w:rsidR="009613C8" w:rsidRPr="00197367" w:rsidRDefault="009613C8" w:rsidP="009613C8">
            <w:r w:rsidRPr="00197367">
              <w:t>9.</w:t>
            </w:r>
          </w:p>
        </w:tc>
        <w:tc>
          <w:tcPr>
            <w:tcW w:w="2693" w:type="dxa"/>
          </w:tcPr>
          <w:p w14:paraId="01C53E80" w14:textId="3A207D71" w:rsidR="009613C8" w:rsidRPr="00197367" w:rsidRDefault="009613C8" w:rsidP="009613C8">
            <w:r w:rsidRPr="00197367">
              <w:t>Duomenų perdavimas</w:t>
            </w:r>
          </w:p>
        </w:tc>
        <w:tc>
          <w:tcPr>
            <w:tcW w:w="6096" w:type="dxa"/>
          </w:tcPr>
          <w:p w14:paraId="06FB5CAA" w14:textId="0B79327E" w:rsidR="009613C8" w:rsidRPr="00197367" w:rsidRDefault="009613C8" w:rsidP="009613C8">
            <w:pPr>
              <w:jc w:val="both"/>
            </w:pPr>
            <w:r w:rsidRPr="00197367">
              <w:t>Pasibaigus sutarties galiojimui, Tiekėjas privalo užtikrinti sukauptų duomenų perdavimą Pirkėjui.</w:t>
            </w:r>
          </w:p>
        </w:tc>
      </w:tr>
      <w:tr w:rsidR="009613C8" w:rsidRPr="00197367" w14:paraId="4F17FEFB" w14:textId="77777777" w:rsidTr="003073E6">
        <w:tc>
          <w:tcPr>
            <w:tcW w:w="709" w:type="dxa"/>
          </w:tcPr>
          <w:p w14:paraId="56FA63AA" w14:textId="72D3136C" w:rsidR="009613C8" w:rsidRPr="00197367" w:rsidRDefault="009613C8" w:rsidP="009613C8">
            <w:r w:rsidRPr="00197367">
              <w:t>10.</w:t>
            </w:r>
          </w:p>
        </w:tc>
        <w:tc>
          <w:tcPr>
            <w:tcW w:w="2693" w:type="dxa"/>
          </w:tcPr>
          <w:p w14:paraId="5ECE6139" w14:textId="4392C877" w:rsidR="009613C8" w:rsidRPr="00197367" w:rsidRDefault="009613C8" w:rsidP="009613C8">
            <w:r w:rsidRPr="00197367">
              <w:t xml:space="preserve">Duomenų </w:t>
            </w:r>
            <w:r>
              <w:t>šalini</w:t>
            </w:r>
            <w:r w:rsidRPr="00197367">
              <w:t>mas</w:t>
            </w:r>
          </w:p>
        </w:tc>
        <w:tc>
          <w:tcPr>
            <w:tcW w:w="6096" w:type="dxa"/>
          </w:tcPr>
          <w:p w14:paraId="2E74BA33" w14:textId="71215C03" w:rsidR="009613C8" w:rsidRPr="00197367" w:rsidRDefault="009613C8" w:rsidP="009613C8">
            <w:pPr>
              <w:jc w:val="both"/>
            </w:pPr>
            <w:r w:rsidRPr="00197367">
              <w:t>Duomenys, likę po sutarties nutraukimo</w:t>
            </w:r>
            <w:r>
              <w:t>,</w:t>
            </w:r>
            <w:r w:rsidRPr="00197367">
              <w:t xml:space="preserve"> turi būti ištrinami neatstatomai.</w:t>
            </w:r>
          </w:p>
        </w:tc>
      </w:tr>
      <w:tr w:rsidR="009613C8" w:rsidRPr="00197367" w14:paraId="6A8C4FD5" w14:textId="77777777" w:rsidTr="003073E6">
        <w:tc>
          <w:tcPr>
            <w:tcW w:w="709" w:type="dxa"/>
          </w:tcPr>
          <w:p w14:paraId="669DD5D2" w14:textId="0852A519" w:rsidR="009613C8" w:rsidRPr="00197367" w:rsidRDefault="009613C8" w:rsidP="009613C8">
            <w:r w:rsidRPr="00197367">
              <w:t>11.</w:t>
            </w:r>
          </w:p>
        </w:tc>
        <w:tc>
          <w:tcPr>
            <w:tcW w:w="2693" w:type="dxa"/>
          </w:tcPr>
          <w:p w14:paraId="5020D60B" w14:textId="27D3D6AD" w:rsidR="009613C8" w:rsidRPr="00197367" w:rsidRDefault="009613C8" w:rsidP="009613C8">
            <w:r w:rsidRPr="00197367">
              <w:t>Sistemos suderinamumas</w:t>
            </w:r>
          </w:p>
        </w:tc>
        <w:tc>
          <w:tcPr>
            <w:tcW w:w="6096" w:type="dxa"/>
          </w:tcPr>
          <w:p w14:paraId="16C04E66" w14:textId="04DF80CB" w:rsidR="009613C8" w:rsidRPr="00197367" w:rsidRDefault="009613C8" w:rsidP="009613C8">
            <w:pPr>
              <w:jc w:val="both"/>
            </w:pPr>
            <w:r w:rsidRPr="00197367">
              <w:t xml:space="preserve">Siūlomos sistemos komponentai turi būti visiškai suderinami su </w:t>
            </w:r>
            <w:r>
              <w:t>FOSS</w:t>
            </w:r>
            <w:r w:rsidRPr="00197367">
              <w:t xml:space="preserve"> </w:t>
            </w:r>
            <w:r>
              <w:t xml:space="preserve">įvairių </w:t>
            </w:r>
            <w:r w:rsidRPr="00197367">
              <w:t>modelių grūdų analizatoriais</w:t>
            </w:r>
            <w:r>
              <w:t xml:space="preserve"> („Infratec 1241“, „Infratec NOVA“ , „Infratec TM“ ir kt.).</w:t>
            </w:r>
          </w:p>
        </w:tc>
      </w:tr>
      <w:tr w:rsidR="009613C8" w:rsidRPr="00197367" w14:paraId="787A1E71" w14:textId="77777777" w:rsidTr="003073E6">
        <w:tc>
          <w:tcPr>
            <w:tcW w:w="709" w:type="dxa"/>
          </w:tcPr>
          <w:p w14:paraId="23DF81BC" w14:textId="658CED0A" w:rsidR="009613C8" w:rsidRPr="00197367" w:rsidRDefault="009613C8" w:rsidP="009613C8">
            <w:r w:rsidRPr="00197367">
              <w:t>12.</w:t>
            </w:r>
          </w:p>
        </w:tc>
        <w:tc>
          <w:tcPr>
            <w:tcW w:w="2693" w:type="dxa"/>
          </w:tcPr>
          <w:p w14:paraId="5080DD97" w14:textId="0D5CAC56" w:rsidR="009613C8" w:rsidRPr="00197367" w:rsidRDefault="009613C8" w:rsidP="009613C8">
            <w:r w:rsidRPr="00197367">
              <w:rPr>
                <w:bCs/>
                <w:noProof/>
              </w:rPr>
              <w:t>Paslaugos trukmė</w:t>
            </w:r>
          </w:p>
        </w:tc>
        <w:tc>
          <w:tcPr>
            <w:tcW w:w="6096" w:type="dxa"/>
          </w:tcPr>
          <w:p w14:paraId="7AC1D0F4" w14:textId="374C28BF" w:rsidR="009613C8" w:rsidRPr="00197367" w:rsidRDefault="009613C8" w:rsidP="009613C8">
            <w:pPr>
              <w:jc w:val="both"/>
            </w:pPr>
            <w:r w:rsidRPr="00197367">
              <w:rPr>
                <w:bCs/>
                <w:noProof/>
              </w:rPr>
              <w:t>Paslaugos pradedamos teikti nuo sutarties pasirašymo dienos          ir turi būti teikiamos vienerius metus</w:t>
            </w:r>
            <w:r>
              <w:rPr>
                <w:bCs/>
                <w:noProof/>
              </w:rPr>
              <w:t>.</w:t>
            </w:r>
            <w:r w:rsidRPr="00197367">
              <w:rPr>
                <w:bCs/>
                <w:noProof/>
              </w:rPr>
              <w:t xml:space="preserve"> </w:t>
            </w:r>
          </w:p>
        </w:tc>
      </w:tr>
    </w:tbl>
    <w:p w14:paraId="583DC404" w14:textId="7C9E02F0" w:rsidR="00295F50" w:rsidRPr="00197367" w:rsidRDefault="00295F50" w:rsidP="00576654">
      <w:pPr>
        <w:tabs>
          <w:tab w:val="left" w:pos="5430"/>
        </w:tabs>
      </w:pPr>
    </w:p>
    <w:sectPr w:rsidR="00295F50" w:rsidRPr="00197367" w:rsidSect="00577320">
      <w:pgSz w:w="11906" w:h="16838"/>
      <w:pgMar w:top="170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36CE0"/>
    <w:multiLevelType w:val="multilevel"/>
    <w:tmpl w:val="219CA1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576384"/>
    <w:multiLevelType w:val="hybridMultilevel"/>
    <w:tmpl w:val="D968F82E"/>
    <w:lvl w:ilvl="0" w:tplc="EC1C6B60">
      <w:numFmt w:val="bullet"/>
      <w:lvlText w:val="-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2072655177">
    <w:abstractNumId w:val="1"/>
  </w:num>
  <w:num w:numId="2" w16cid:durableId="903952426">
    <w:abstractNumId w:val="2"/>
  </w:num>
  <w:num w:numId="3" w16cid:durableId="211486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F50"/>
    <w:rsid w:val="00001945"/>
    <w:rsid w:val="00024E52"/>
    <w:rsid w:val="000A7826"/>
    <w:rsid w:val="001005FB"/>
    <w:rsid w:val="001333CC"/>
    <w:rsid w:val="00134187"/>
    <w:rsid w:val="001672DF"/>
    <w:rsid w:val="0019038E"/>
    <w:rsid w:val="00197367"/>
    <w:rsid w:val="001A3017"/>
    <w:rsid w:val="001D0E20"/>
    <w:rsid w:val="001D6B8E"/>
    <w:rsid w:val="00215B7B"/>
    <w:rsid w:val="002333DE"/>
    <w:rsid w:val="0024305C"/>
    <w:rsid w:val="002836F7"/>
    <w:rsid w:val="00295F50"/>
    <w:rsid w:val="002A751A"/>
    <w:rsid w:val="002E0594"/>
    <w:rsid w:val="002E56A3"/>
    <w:rsid w:val="003073E6"/>
    <w:rsid w:val="00325279"/>
    <w:rsid w:val="00372318"/>
    <w:rsid w:val="003761C0"/>
    <w:rsid w:val="003A5A2F"/>
    <w:rsid w:val="004033ED"/>
    <w:rsid w:val="00467E00"/>
    <w:rsid w:val="00475D99"/>
    <w:rsid w:val="004C5486"/>
    <w:rsid w:val="004D12CD"/>
    <w:rsid w:val="004D3052"/>
    <w:rsid w:val="004D5C2A"/>
    <w:rsid w:val="004F22AE"/>
    <w:rsid w:val="004F6EF7"/>
    <w:rsid w:val="004F78BA"/>
    <w:rsid w:val="00527CC2"/>
    <w:rsid w:val="00566455"/>
    <w:rsid w:val="00576654"/>
    <w:rsid w:val="00577320"/>
    <w:rsid w:val="005C598C"/>
    <w:rsid w:val="005E5686"/>
    <w:rsid w:val="006405AE"/>
    <w:rsid w:val="00650B6A"/>
    <w:rsid w:val="00695EF5"/>
    <w:rsid w:val="006A6B73"/>
    <w:rsid w:val="006B1B0C"/>
    <w:rsid w:val="00737CD6"/>
    <w:rsid w:val="00747010"/>
    <w:rsid w:val="00747C12"/>
    <w:rsid w:val="00757D42"/>
    <w:rsid w:val="007A10AE"/>
    <w:rsid w:val="007E63F2"/>
    <w:rsid w:val="0081566C"/>
    <w:rsid w:val="00824D7A"/>
    <w:rsid w:val="008332D8"/>
    <w:rsid w:val="008657DA"/>
    <w:rsid w:val="008A02C6"/>
    <w:rsid w:val="008A0869"/>
    <w:rsid w:val="00916D34"/>
    <w:rsid w:val="0091712D"/>
    <w:rsid w:val="009613C8"/>
    <w:rsid w:val="009A61F1"/>
    <w:rsid w:val="009E4AE6"/>
    <w:rsid w:val="00A06772"/>
    <w:rsid w:val="00A33833"/>
    <w:rsid w:val="00AD43F6"/>
    <w:rsid w:val="00AE5034"/>
    <w:rsid w:val="00B91300"/>
    <w:rsid w:val="00BE0F72"/>
    <w:rsid w:val="00BE7AB8"/>
    <w:rsid w:val="00BF70C4"/>
    <w:rsid w:val="00C10CEB"/>
    <w:rsid w:val="00C173B2"/>
    <w:rsid w:val="00C4068E"/>
    <w:rsid w:val="00C7678D"/>
    <w:rsid w:val="00C77D4A"/>
    <w:rsid w:val="00CA16EA"/>
    <w:rsid w:val="00CF735E"/>
    <w:rsid w:val="00D04E4E"/>
    <w:rsid w:val="00D2094D"/>
    <w:rsid w:val="00D23B1C"/>
    <w:rsid w:val="00D27822"/>
    <w:rsid w:val="00D50AF0"/>
    <w:rsid w:val="00D57D7C"/>
    <w:rsid w:val="00DA2AC4"/>
    <w:rsid w:val="00DA3817"/>
    <w:rsid w:val="00DA43C1"/>
    <w:rsid w:val="00DB11CD"/>
    <w:rsid w:val="00DC519C"/>
    <w:rsid w:val="00E30C33"/>
    <w:rsid w:val="00E52EC4"/>
    <w:rsid w:val="00EA5323"/>
    <w:rsid w:val="00EA72C0"/>
    <w:rsid w:val="00EB0F95"/>
    <w:rsid w:val="00ED1E80"/>
    <w:rsid w:val="00ED557B"/>
    <w:rsid w:val="00EE7F06"/>
    <w:rsid w:val="00F550EB"/>
    <w:rsid w:val="00F8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50A6E"/>
  <w15:chartTrackingRefBased/>
  <w15:docId w15:val="{D2D567D3-3ABC-43A9-ADF9-9A0464D9E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1C0"/>
    <w:rPr>
      <w:sz w:val="24"/>
      <w:szCs w:val="24"/>
    </w:rPr>
  </w:style>
  <w:style w:type="paragraph" w:styleId="Heading1">
    <w:name w:val="heading 1"/>
    <w:aliases w:val="Appendix"/>
    <w:basedOn w:val="Normal"/>
    <w:next w:val="Normal"/>
    <w:link w:val="Heading1Char"/>
    <w:qFormat/>
    <w:rsid w:val="000A7826"/>
    <w:pPr>
      <w:keepNext/>
      <w:numPr>
        <w:numId w:val="2"/>
      </w:numPr>
      <w:spacing w:before="360" w:after="360"/>
      <w:jc w:val="center"/>
      <w:outlineLvl w:val="0"/>
    </w:pPr>
    <w:rPr>
      <w:rFonts w:eastAsia="Calibri"/>
      <w:sz w:val="28"/>
      <w:szCs w:val="22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0A7826"/>
    <w:pPr>
      <w:numPr>
        <w:ilvl w:val="1"/>
        <w:numId w:val="2"/>
      </w:numPr>
      <w:jc w:val="both"/>
      <w:outlineLvl w:val="1"/>
    </w:pPr>
    <w:rPr>
      <w:szCs w:val="20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0A7826"/>
    <w:pPr>
      <w:keepNext/>
      <w:numPr>
        <w:ilvl w:val="2"/>
        <w:numId w:val="2"/>
      </w:numPr>
      <w:jc w:val="both"/>
      <w:outlineLvl w:val="2"/>
    </w:pPr>
    <w:rPr>
      <w:szCs w:val="20"/>
    </w:rPr>
  </w:style>
  <w:style w:type="paragraph" w:styleId="Heading4">
    <w:name w:val="heading 4"/>
    <w:aliases w:val="Sub-Clause Sub-paragraph, Sub-Clause Sub-paragraph,Heading 4 Char Char Char Char"/>
    <w:basedOn w:val="Normal"/>
    <w:next w:val="Normal"/>
    <w:link w:val="Heading4Char"/>
    <w:qFormat/>
    <w:rsid w:val="000A7826"/>
    <w:pPr>
      <w:keepNext/>
      <w:numPr>
        <w:ilvl w:val="3"/>
        <w:numId w:val="2"/>
      </w:numPr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qFormat/>
    <w:rsid w:val="000A7826"/>
    <w:pPr>
      <w:keepNext/>
      <w:numPr>
        <w:ilvl w:val="4"/>
        <w:numId w:val="2"/>
      </w:numPr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qFormat/>
    <w:rsid w:val="000A7826"/>
    <w:pPr>
      <w:keepNext/>
      <w:numPr>
        <w:ilvl w:val="5"/>
        <w:numId w:val="2"/>
      </w:numPr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0A7826"/>
    <w:pPr>
      <w:keepNext/>
      <w:numPr>
        <w:ilvl w:val="6"/>
        <w:numId w:val="2"/>
      </w:numPr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qFormat/>
    <w:rsid w:val="000A7826"/>
    <w:pPr>
      <w:keepNext/>
      <w:numPr>
        <w:ilvl w:val="7"/>
        <w:numId w:val="2"/>
      </w:numPr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0A7826"/>
    <w:pPr>
      <w:keepNext/>
      <w:numPr>
        <w:ilvl w:val="8"/>
        <w:numId w:val="2"/>
      </w:numPr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7D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aliases w:val="Appendix Char"/>
    <w:link w:val="Heading1"/>
    <w:rsid w:val="000A7826"/>
    <w:rPr>
      <w:rFonts w:eastAsia="Calibri"/>
      <w:sz w:val="28"/>
      <w:szCs w:val="22"/>
    </w:rPr>
  </w:style>
  <w:style w:type="character" w:customStyle="1" w:styleId="Heading2Char">
    <w:name w:val="Heading 2 Char"/>
    <w:aliases w:val="Title Header2 Char"/>
    <w:link w:val="Heading2"/>
    <w:rsid w:val="000A7826"/>
    <w:rPr>
      <w:sz w:val="24"/>
    </w:rPr>
  </w:style>
  <w:style w:type="character" w:customStyle="1" w:styleId="Heading3Char">
    <w:name w:val="Heading 3 Char"/>
    <w:aliases w:val="Section Header3 Char,Sub-Clause Paragraph Char"/>
    <w:link w:val="Heading3"/>
    <w:rsid w:val="000A7826"/>
    <w:rPr>
      <w:sz w:val="24"/>
    </w:rPr>
  </w:style>
  <w:style w:type="character" w:customStyle="1" w:styleId="Heading4Char">
    <w:name w:val="Heading 4 Char"/>
    <w:aliases w:val="Sub-Clause Sub-paragraph Char, Sub-Clause Sub-paragraph Char,Heading 4 Char Char Char Char Char"/>
    <w:link w:val="Heading4"/>
    <w:rsid w:val="000A7826"/>
    <w:rPr>
      <w:b/>
      <w:sz w:val="44"/>
    </w:rPr>
  </w:style>
  <w:style w:type="character" w:customStyle="1" w:styleId="Heading5Char">
    <w:name w:val="Heading 5 Char"/>
    <w:link w:val="Heading5"/>
    <w:rsid w:val="000A7826"/>
    <w:rPr>
      <w:b/>
      <w:sz w:val="40"/>
    </w:rPr>
  </w:style>
  <w:style w:type="character" w:customStyle="1" w:styleId="Heading6Char">
    <w:name w:val="Heading 6 Char"/>
    <w:link w:val="Heading6"/>
    <w:rsid w:val="000A7826"/>
    <w:rPr>
      <w:b/>
      <w:sz w:val="36"/>
    </w:rPr>
  </w:style>
  <w:style w:type="character" w:customStyle="1" w:styleId="Heading7Char">
    <w:name w:val="Heading 7 Char"/>
    <w:link w:val="Heading7"/>
    <w:rsid w:val="000A7826"/>
    <w:rPr>
      <w:sz w:val="48"/>
    </w:rPr>
  </w:style>
  <w:style w:type="character" w:customStyle="1" w:styleId="Heading8Char">
    <w:name w:val="Heading 8 Char"/>
    <w:link w:val="Heading8"/>
    <w:rsid w:val="000A7826"/>
    <w:rPr>
      <w:b/>
      <w:sz w:val="18"/>
    </w:rPr>
  </w:style>
  <w:style w:type="character" w:customStyle="1" w:styleId="Heading9Char">
    <w:name w:val="Heading 9 Char"/>
    <w:link w:val="Heading9"/>
    <w:rsid w:val="000A7826"/>
    <w:rPr>
      <w:sz w:val="40"/>
    </w:rPr>
  </w:style>
  <w:style w:type="paragraph" w:customStyle="1" w:styleId="heaging1">
    <w:name w:val="heaging 1"/>
    <w:basedOn w:val="Heading2"/>
    <w:link w:val="heaging1Char"/>
    <w:qFormat/>
    <w:rsid w:val="000A7826"/>
    <w:pPr>
      <w:keepNext/>
      <w:numPr>
        <w:ilvl w:val="0"/>
        <w:numId w:val="0"/>
      </w:numPr>
      <w:suppressAutoHyphens/>
      <w:spacing w:line="360" w:lineRule="auto"/>
      <w:ind w:left="360" w:hanging="360"/>
    </w:pPr>
    <w:rPr>
      <w:b/>
      <w:szCs w:val="24"/>
      <w:lang w:eastAsia="ar-SA"/>
    </w:rPr>
  </w:style>
  <w:style w:type="character" w:customStyle="1" w:styleId="heaging1Char">
    <w:name w:val="heaging 1 Char"/>
    <w:link w:val="heaging1"/>
    <w:rsid w:val="000A7826"/>
    <w:rPr>
      <w:b/>
      <w:sz w:val="24"/>
      <w:szCs w:val="24"/>
      <w:lang w:eastAsia="ar-SA"/>
    </w:rPr>
  </w:style>
  <w:style w:type="character" w:styleId="CommentReference">
    <w:name w:val="annotation reference"/>
    <w:uiPriority w:val="99"/>
    <w:semiHidden/>
    <w:unhideWhenUsed/>
    <w:rsid w:val="00024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E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E5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24E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E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24E5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F73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ebelDocGen\Templates\Q1UABF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2F8C1-2F44-4793-B307-7FD64748D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Q1UABFR.dot</Template>
  <TotalTime>9</TotalTime>
  <Pages>1</Pages>
  <Words>306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Beata Miloš</cp:lastModifiedBy>
  <cp:revision>2</cp:revision>
  <dcterms:created xsi:type="dcterms:W3CDTF">2026-04-17T10:58:00Z</dcterms:created>
  <dcterms:modified xsi:type="dcterms:W3CDTF">2026-04-17T10:58:00Z</dcterms:modified>
</cp:coreProperties>
</file>