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01BA3BBB" w:rsidR="002B1FEE" w:rsidRPr="002B1FEE" w:rsidRDefault="002B1FEE" w:rsidP="002B1FEE">
      <w:pPr>
        <w:rPr>
          <w:rFonts w:ascii="Times New Roman" w:hAnsi="Times New Roman" w:cs="Times New Roman"/>
        </w:rPr>
      </w:pPr>
      <w:r w:rsidRPr="002B1FEE">
        <w:rPr>
          <w:rFonts w:ascii="Times New Roman" w:hAnsi="Times New Roman" w:cs="Times New Roman"/>
          <w:b/>
        </w:rPr>
        <w:t>Dėl atsakym</w:t>
      </w:r>
      <w:r w:rsidR="00E40BE0">
        <w:rPr>
          <w:rFonts w:ascii="Times New Roman" w:hAnsi="Times New Roman" w:cs="Times New Roman"/>
          <w:b/>
        </w:rPr>
        <w:t>ų</w:t>
      </w:r>
      <w:r w:rsidRPr="002B1FEE">
        <w:rPr>
          <w:rFonts w:ascii="Times New Roman" w:hAnsi="Times New Roman" w:cs="Times New Roman"/>
          <w:b/>
        </w:rPr>
        <w:t xml:space="preserve"> į gau</w:t>
      </w:r>
      <w:r w:rsidR="00012BDB">
        <w:rPr>
          <w:rFonts w:ascii="Times New Roman" w:hAnsi="Times New Roman" w:cs="Times New Roman"/>
          <w:b/>
        </w:rPr>
        <w:t>t</w:t>
      </w:r>
      <w:r w:rsidR="00E40BE0">
        <w:rPr>
          <w:rFonts w:ascii="Times New Roman" w:hAnsi="Times New Roman" w:cs="Times New Roman"/>
          <w:b/>
        </w:rPr>
        <w:t>us</w:t>
      </w:r>
      <w:r w:rsidRPr="002B1FEE">
        <w:rPr>
          <w:rFonts w:ascii="Times New Roman" w:hAnsi="Times New Roman" w:cs="Times New Roman"/>
          <w:b/>
        </w:rPr>
        <w:t xml:space="preserve"> klausim</w:t>
      </w:r>
      <w:r w:rsidR="00E40BE0">
        <w:rPr>
          <w:rFonts w:ascii="Times New Roman" w:hAnsi="Times New Roman" w:cs="Times New Roman"/>
          <w:b/>
        </w:rPr>
        <w:t>us</w:t>
      </w:r>
      <w:r w:rsidR="00422A62">
        <w:rPr>
          <w:rFonts w:ascii="Times New Roman" w:hAnsi="Times New Roman" w:cs="Times New Roman"/>
          <w:b/>
        </w:rPr>
        <w:t xml:space="preserve"> </w:t>
      </w:r>
      <w:r w:rsidR="00030E36">
        <w:rPr>
          <w:rFonts w:ascii="Times New Roman" w:hAnsi="Times New Roman" w:cs="Times New Roman"/>
          <w:b/>
        </w:rPr>
        <w:t>2026-04-17</w:t>
      </w:r>
    </w:p>
    <w:p w14:paraId="148E12A9" w14:textId="77777777" w:rsidR="00091309" w:rsidRDefault="002B1FEE" w:rsidP="00091309">
      <w:pPr>
        <w:tabs>
          <w:tab w:val="left" w:pos="851"/>
        </w:tabs>
        <w:rPr>
          <w:rFonts w:ascii="Times New Roman" w:hAnsi="Times New Roman" w:cs="Times New Roman"/>
        </w:rPr>
      </w:pPr>
      <w:r w:rsidRPr="002B1FEE">
        <w:rPr>
          <w:rFonts w:ascii="Times New Roman" w:hAnsi="Times New Roman" w:cs="Times New Roman"/>
          <w:bCs/>
          <w:color w:val="000000"/>
        </w:rPr>
        <w:t xml:space="preserve">         </w:t>
      </w:r>
      <w:r w:rsidRPr="002B1FEE">
        <w:rPr>
          <w:rFonts w:ascii="Times New Roman" w:hAnsi="Times New Roman" w:cs="Times New Roman"/>
        </w:rPr>
        <w:t xml:space="preserve"> </w:t>
      </w:r>
    </w:p>
    <w:p w14:paraId="3D4FCD24" w14:textId="77777777" w:rsidR="0084279C" w:rsidRPr="0084279C" w:rsidRDefault="00091309" w:rsidP="008427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4279C" w:rsidRPr="00A510A9">
        <w:rPr>
          <w:i/>
          <w:iCs/>
          <w:sz w:val="20"/>
          <w:szCs w:val="20"/>
        </w:rPr>
        <w:t xml:space="preserve">Perkantysis subjektas informuoja, kad gavo tiekėjų klausimus dėl atviro (supaprastinto) konkurso „Medienos kuro </w:t>
      </w:r>
      <w:r w:rsidR="0084279C" w:rsidRPr="0084279C">
        <w:rPr>
          <w:rFonts w:ascii="Times New Roman" w:hAnsi="Times New Roman" w:cs="Times New Roman"/>
        </w:rPr>
        <w:t xml:space="preserve">pelenų išvežimo ir tvarkymo paslaugų“ techninės specifikacijos ir prašymą pratęsti pasiūlymų pateikimo terminą. Pranešame atsakymus:   </w:t>
      </w:r>
    </w:p>
    <w:p w14:paraId="397DA57C"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1 KLAUSIMAS (Pastaba: klausimų tekstai neredaguoti):</w:t>
      </w:r>
    </w:p>
    <w:p w14:paraId="244263DC"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Kadangi, atsakydami į mūsų ankstesnius užklausimus dėl pelenų sausos masės apskaitos metodikos pagal galiojančius teisės aktus pagrindimo negavome, tuo klausimu žodžiu kreipėmės į Aplinkos apsaugos departamentą. Preliminarus atsakymas buvo, kad apskaita turi būti vykdoma pagal faktą, tai yra sveriant pelenus, o ne perskaičiuojant į sausą masę. 2026 04 16 dieną raštu kreipėmės į Aplinkos apsaugos departamentą dėl Jūsų taikomos apskaitos metodikos išaiškinimo.</w:t>
      </w:r>
    </w:p>
    <w:p w14:paraId="21FDB249"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ATSAKYMAS</w:t>
      </w:r>
    </w:p>
    <w:p w14:paraId="1CAD5950"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 xml:space="preserve">AB „Šiaulių energija“ šilumos ir elektros energijos gamybos proceso metu susidarančių pelenų, priskiriamų šalutiniam produktui, kiekis bendrovės vidaus apskaitoje buvo nustatomas ir apskaitomas sausa mase, atsižvelgiant į kuro drėgmės įtaką bei </w:t>
      </w:r>
      <w:proofErr w:type="spellStart"/>
      <w:r w:rsidRPr="0084279C">
        <w:rPr>
          <w:rFonts w:ascii="Times New Roman" w:hAnsi="Times New Roman" w:cs="Times New Roman"/>
        </w:rPr>
        <w:t>peleningumą</w:t>
      </w:r>
      <w:proofErr w:type="spellEnd"/>
      <w:r w:rsidRPr="0084279C">
        <w:rPr>
          <w:rFonts w:ascii="Times New Roman" w:hAnsi="Times New Roman" w:cs="Times New Roman"/>
        </w:rPr>
        <w:t>. Toks apskaitos būdas taikomas siekiant užtikrinti tikslesnį ir objektyvesnį susidarančių medžiagų kiekio įvertinimą, eliminuojant drėgmės įtaką. Vykdant šalutinio produkto apskaitą, nėra konkrečių nurodymų, kaip tai turi būti vykdoma (sausa ar šlapia mase), tačiau vykdant apskaitą sausa mase, užtikrinamas duomenų palyginamumas su sunaudoto kuro charakteristikomis bei išvengiama netikslumų, kurie gali atsirasti dėl pelenų drėkinimo technologinių procesų metu ar aplinkos poveikio sandėliuojant. Tokia praktika leidžia tiksliai nustatyti faktiškai susidariusį šalutinio produkto kiekį, pagrįstą kuro chemine sudėtimi, bei užtikrina skaidrią atskaitomybę tolimesniems šalutinio produkto naudotojams.</w:t>
      </w:r>
    </w:p>
    <w:p w14:paraId="41480DC8"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Pažymime, kad pirkimo dokumentuose nurodyta apskaitos metodika (sausa mase) taikoma šalutinio produkto naudotojams. Atsižvelgiant į tai, kad yra numatyta galimybė  pelenus perduoti kaip atlieką atliekų tvarkytojams, perduodamų pelenų kiekis gali būti apskaitomas pagal faktinį (šlapią) svorį, nustatytą perdavimo metu, vadovaujantis svėrimo dokumentais. Toks apskaitos būdas būtų vykdomas vadovaujantis Atliekų susidarymo ir tvarkymo apskaitos taisyklių reikalavimais, pagal kuriuos atliekų kiekiai būtų registruojami pagal faktiškai perduotus kiekius, pagrįstus svėrimo dokumentais, bei siekiant užtikrinti tinkamą duomenų pateikimą GPAIS.</w:t>
      </w:r>
    </w:p>
    <w:p w14:paraId="04458295" w14:textId="77777777" w:rsidR="0084279C" w:rsidRPr="0084279C" w:rsidRDefault="0084279C" w:rsidP="0084279C">
      <w:pPr>
        <w:spacing w:after="0" w:line="240" w:lineRule="auto"/>
        <w:ind w:left="567"/>
        <w:jc w:val="both"/>
        <w:rPr>
          <w:rFonts w:ascii="Times New Roman" w:hAnsi="Times New Roman" w:cs="Times New Roman"/>
        </w:rPr>
      </w:pPr>
    </w:p>
    <w:p w14:paraId="79AF4832" w14:textId="77777777" w:rsidR="0084279C" w:rsidRPr="0084279C" w:rsidRDefault="0084279C" w:rsidP="0084279C">
      <w:pPr>
        <w:spacing w:after="0" w:line="240" w:lineRule="auto"/>
        <w:ind w:left="567"/>
        <w:jc w:val="both"/>
        <w:rPr>
          <w:rFonts w:ascii="Times New Roman" w:hAnsi="Times New Roman" w:cs="Times New Roman"/>
        </w:rPr>
      </w:pPr>
      <w:r w:rsidRPr="0084279C">
        <w:rPr>
          <w:rFonts w:ascii="Times New Roman" w:hAnsi="Times New Roman" w:cs="Times New Roman"/>
        </w:rPr>
        <w:t>2 KLAUSIMAS:</w:t>
      </w:r>
    </w:p>
    <w:p w14:paraId="54719D99"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Kadangi AAD atsakymas pagal galiojančią tvarką gali užtrukti iki 20 darbo dienų, prašome tokiam terminui atidėti pasiūlymų pateikimo terminą.</w:t>
      </w:r>
    </w:p>
    <w:p w14:paraId="25B7E51A" w14:textId="77777777" w:rsidR="0084279C" w:rsidRPr="0084279C" w:rsidRDefault="0084279C" w:rsidP="0084279C">
      <w:pPr>
        <w:spacing w:after="0" w:line="240" w:lineRule="auto"/>
        <w:ind w:firstLine="567"/>
        <w:jc w:val="both"/>
        <w:rPr>
          <w:rFonts w:ascii="Times New Roman" w:hAnsi="Times New Roman" w:cs="Times New Roman"/>
        </w:rPr>
      </w:pPr>
      <w:r w:rsidRPr="0084279C">
        <w:rPr>
          <w:rFonts w:ascii="Times New Roman" w:hAnsi="Times New Roman" w:cs="Times New Roman"/>
        </w:rPr>
        <w:t>ATSAKYMAS</w:t>
      </w:r>
    </w:p>
    <w:p w14:paraId="3C8CAB81" w14:textId="655CB772" w:rsidR="000D1CAA" w:rsidRPr="0084279C" w:rsidRDefault="0084279C" w:rsidP="0084279C">
      <w:pPr>
        <w:tabs>
          <w:tab w:val="left" w:pos="567"/>
        </w:tabs>
        <w:spacing w:after="0" w:line="240" w:lineRule="auto"/>
        <w:jc w:val="both"/>
        <w:rPr>
          <w:rFonts w:ascii="Times New Roman" w:hAnsi="Times New Roman" w:cs="Times New Roman"/>
        </w:rPr>
      </w:pPr>
      <w:r w:rsidRPr="0084279C">
        <w:rPr>
          <w:rFonts w:ascii="Times New Roman" w:hAnsi="Times New Roman" w:cs="Times New Roman"/>
        </w:rPr>
        <w:tab/>
        <w:t>Perkantysis subjektas iš dalies atsižvelgdamas  į  tiekėjų prašymą pratęsia  pasiūlymų pateikimo terminą iki 2026-04-24 10 val. 00 min</w:t>
      </w:r>
      <w:r>
        <w:rPr>
          <w:rFonts w:ascii="Times New Roman" w:hAnsi="Times New Roman" w:cs="Times New Roman"/>
        </w:rPr>
        <w:t>.</w:t>
      </w:r>
    </w:p>
    <w:sectPr w:rsidR="000D1CAA" w:rsidRPr="0084279C" w:rsidSect="00D154A8">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4"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10263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4"/>
  </w:num>
  <w:num w:numId="3" w16cid:durableId="1480339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3"/>
  </w:num>
  <w:num w:numId="6" w16cid:durableId="125116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1516"/>
    <w:rsid w:val="0000550D"/>
    <w:rsid w:val="0000733E"/>
    <w:rsid w:val="0001041A"/>
    <w:rsid w:val="00010AFA"/>
    <w:rsid w:val="00012BDB"/>
    <w:rsid w:val="000150A5"/>
    <w:rsid w:val="00016837"/>
    <w:rsid w:val="00030E36"/>
    <w:rsid w:val="00030FBC"/>
    <w:rsid w:val="00033BF0"/>
    <w:rsid w:val="00034D40"/>
    <w:rsid w:val="00034FE4"/>
    <w:rsid w:val="000403A0"/>
    <w:rsid w:val="00042062"/>
    <w:rsid w:val="00043AB7"/>
    <w:rsid w:val="0004481D"/>
    <w:rsid w:val="0006671F"/>
    <w:rsid w:val="00070C7B"/>
    <w:rsid w:val="000715D6"/>
    <w:rsid w:val="00074673"/>
    <w:rsid w:val="000753AF"/>
    <w:rsid w:val="0008499E"/>
    <w:rsid w:val="00091309"/>
    <w:rsid w:val="000978B3"/>
    <w:rsid w:val="000A1EF8"/>
    <w:rsid w:val="000A24F3"/>
    <w:rsid w:val="000A44BE"/>
    <w:rsid w:val="000A4A43"/>
    <w:rsid w:val="000A4CD1"/>
    <w:rsid w:val="000B2CDA"/>
    <w:rsid w:val="000B4EDC"/>
    <w:rsid w:val="000B5976"/>
    <w:rsid w:val="000B6D1C"/>
    <w:rsid w:val="000C0F2B"/>
    <w:rsid w:val="000C5933"/>
    <w:rsid w:val="000C7A93"/>
    <w:rsid w:val="000D1CAA"/>
    <w:rsid w:val="000E356C"/>
    <w:rsid w:val="000E61ED"/>
    <w:rsid w:val="000E7C6A"/>
    <w:rsid w:val="000F4AF6"/>
    <w:rsid w:val="000F4EA1"/>
    <w:rsid w:val="001005E0"/>
    <w:rsid w:val="00104CDF"/>
    <w:rsid w:val="001068DA"/>
    <w:rsid w:val="0010746D"/>
    <w:rsid w:val="00107596"/>
    <w:rsid w:val="00111412"/>
    <w:rsid w:val="001275F6"/>
    <w:rsid w:val="00131B5F"/>
    <w:rsid w:val="00131E92"/>
    <w:rsid w:val="00133778"/>
    <w:rsid w:val="0013767D"/>
    <w:rsid w:val="00140517"/>
    <w:rsid w:val="001428D3"/>
    <w:rsid w:val="00143247"/>
    <w:rsid w:val="0014513E"/>
    <w:rsid w:val="0014578E"/>
    <w:rsid w:val="00152004"/>
    <w:rsid w:val="00154865"/>
    <w:rsid w:val="001619C5"/>
    <w:rsid w:val="0016277A"/>
    <w:rsid w:val="0018000F"/>
    <w:rsid w:val="00180E90"/>
    <w:rsid w:val="00180FE5"/>
    <w:rsid w:val="00181BB9"/>
    <w:rsid w:val="00182E54"/>
    <w:rsid w:val="00183C4E"/>
    <w:rsid w:val="00190C99"/>
    <w:rsid w:val="00192FEA"/>
    <w:rsid w:val="00194275"/>
    <w:rsid w:val="00195459"/>
    <w:rsid w:val="00195B0C"/>
    <w:rsid w:val="001979FF"/>
    <w:rsid w:val="001A27F6"/>
    <w:rsid w:val="001B082B"/>
    <w:rsid w:val="001B0958"/>
    <w:rsid w:val="001B3B8C"/>
    <w:rsid w:val="001D07D5"/>
    <w:rsid w:val="001E13D9"/>
    <w:rsid w:val="001E369A"/>
    <w:rsid w:val="001F2488"/>
    <w:rsid w:val="002017F4"/>
    <w:rsid w:val="002054A5"/>
    <w:rsid w:val="00206A06"/>
    <w:rsid w:val="00207716"/>
    <w:rsid w:val="00213988"/>
    <w:rsid w:val="00213E4C"/>
    <w:rsid w:val="0021600D"/>
    <w:rsid w:val="00232AA7"/>
    <w:rsid w:val="0023455E"/>
    <w:rsid w:val="00235CE5"/>
    <w:rsid w:val="00240AD5"/>
    <w:rsid w:val="0024220F"/>
    <w:rsid w:val="00243647"/>
    <w:rsid w:val="002445E2"/>
    <w:rsid w:val="002471E9"/>
    <w:rsid w:val="002473F3"/>
    <w:rsid w:val="00260A3E"/>
    <w:rsid w:val="00266F0E"/>
    <w:rsid w:val="00267DC5"/>
    <w:rsid w:val="002731CF"/>
    <w:rsid w:val="00284308"/>
    <w:rsid w:val="00297923"/>
    <w:rsid w:val="002A2AE3"/>
    <w:rsid w:val="002A489C"/>
    <w:rsid w:val="002A7C44"/>
    <w:rsid w:val="002B13F9"/>
    <w:rsid w:val="002B1FEE"/>
    <w:rsid w:val="002B5788"/>
    <w:rsid w:val="002B7412"/>
    <w:rsid w:val="002D1C89"/>
    <w:rsid w:val="002D7167"/>
    <w:rsid w:val="002E28DC"/>
    <w:rsid w:val="002F1D95"/>
    <w:rsid w:val="00314398"/>
    <w:rsid w:val="00324F6B"/>
    <w:rsid w:val="003274E9"/>
    <w:rsid w:val="0033064F"/>
    <w:rsid w:val="003315BB"/>
    <w:rsid w:val="00337D3B"/>
    <w:rsid w:val="00342DFF"/>
    <w:rsid w:val="00343DD4"/>
    <w:rsid w:val="003464E6"/>
    <w:rsid w:val="00346B61"/>
    <w:rsid w:val="00350979"/>
    <w:rsid w:val="0035212F"/>
    <w:rsid w:val="00354EB0"/>
    <w:rsid w:val="00357131"/>
    <w:rsid w:val="00374001"/>
    <w:rsid w:val="003743BC"/>
    <w:rsid w:val="00376423"/>
    <w:rsid w:val="00391275"/>
    <w:rsid w:val="00391F2A"/>
    <w:rsid w:val="00397111"/>
    <w:rsid w:val="00397934"/>
    <w:rsid w:val="003A19D1"/>
    <w:rsid w:val="003A4D86"/>
    <w:rsid w:val="003B002E"/>
    <w:rsid w:val="003B7474"/>
    <w:rsid w:val="003C24EB"/>
    <w:rsid w:val="003D41FA"/>
    <w:rsid w:val="003D4F05"/>
    <w:rsid w:val="003E5467"/>
    <w:rsid w:val="003F0F93"/>
    <w:rsid w:val="003F4A8D"/>
    <w:rsid w:val="0040448F"/>
    <w:rsid w:val="00422A62"/>
    <w:rsid w:val="004253B9"/>
    <w:rsid w:val="00425AD5"/>
    <w:rsid w:val="0042652C"/>
    <w:rsid w:val="004301C9"/>
    <w:rsid w:val="004428E2"/>
    <w:rsid w:val="004535B2"/>
    <w:rsid w:val="00455ECC"/>
    <w:rsid w:val="00476C0B"/>
    <w:rsid w:val="00486C19"/>
    <w:rsid w:val="00493A59"/>
    <w:rsid w:val="004A2150"/>
    <w:rsid w:val="004A29D7"/>
    <w:rsid w:val="004A52EF"/>
    <w:rsid w:val="004A6386"/>
    <w:rsid w:val="004A660A"/>
    <w:rsid w:val="004B04A9"/>
    <w:rsid w:val="004C026E"/>
    <w:rsid w:val="004C61EC"/>
    <w:rsid w:val="004D1584"/>
    <w:rsid w:val="004D53FE"/>
    <w:rsid w:val="004D7F07"/>
    <w:rsid w:val="004E1756"/>
    <w:rsid w:val="004E34CC"/>
    <w:rsid w:val="004E7FE0"/>
    <w:rsid w:val="005019D8"/>
    <w:rsid w:val="00503895"/>
    <w:rsid w:val="0051366E"/>
    <w:rsid w:val="00515131"/>
    <w:rsid w:val="00515559"/>
    <w:rsid w:val="005203FB"/>
    <w:rsid w:val="005217A2"/>
    <w:rsid w:val="00527B40"/>
    <w:rsid w:val="005314BD"/>
    <w:rsid w:val="005327BE"/>
    <w:rsid w:val="00543CAB"/>
    <w:rsid w:val="0054554A"/>
    <w:rsid w:val="005576BA"/>
    <w:rsid w:val="005612E6"/>
    <w:rsid w:val="00562C2D"/>
    <w:rsid w:val="00567F66"/>
    <w:rsid w:val="0057254F"/>
    <w:rsid w:val="0057796F"/>
    <w:rsid w:val="00580033"/>
    <w:rsid w:val="0058235B"/>
    <w:rsid w:val="0058401F"/>
    <w:rsid w:val="005851E4"/>
    <w:rsid w:val="005874E6"/>
    <w:rsid w:val="00596490"/>
    <w:rsid w:val="00597ABA"/>
    <w:rsid w:val="005B6783"/>
    <w:rsid w:val="005B73C4"/>
    <w:rsid w:val="005B7EDD"/>
    <w:rsid w:val="005C411A"/>
    <w:rsid w:val="005C43B8"/>
    <w:rsid w:val="005D0060"/>
    <w:rsid w:val="005D00A5"/>
    <w:rsid w:val="005D1CC8"/>
    <w:rsid w:val="005D2F63"/>
    <w:rsid w:val="005D6DF0"/>
    <w:rsid w:val="005E5BF3"/>
    <w:rsid w:val="005E7D2E"/>
    <w:rsid w:val="005F04D4"/>
    <w:rsid w:val="005F33E5"/>
    <w:rsid w:val="005F5AF6"/>
    <w:rsid w:val="00601A13"/>
    <w:rsid w:val="00603743"/>
    <w:rsid w:val="00612B64"/>
    <w:rsid w:val="00613349"/>
    <w:rsid w:val="00616582"/>
    <w:rsid w:val="00620CE4"/>
    <w:rsid w:val="00625EF5"/>
    <w:rsid w:val="006341C7"/>
    <w:rsid w:val="006375BC"/>
    <w:rsid w:val="006446D9"/>
    <w:rsid w:val="00652C2A"/>
    <w:rsid w:val="006544F5"/>
    <w:rsid w:val="006559DC"/>
    <w:rsid w:val="00656082"/>
    <w:rsid w:val="006674A9"/>
    <w:rsid w:val="00667858"/>
    <w:rsid w:val="00670C19"/>
    <w:rsid w:val="00674600"/>
    <w:rsid w:val="00675A93"/>
    <w:rsid w:val="00675B44"/>
    <w:rsid w:val="006837D2"/>
    <w:rsid w:val="006860D9"/>
    <w:rsid w:val="00686EB2"/>
    <w:rsid w:val="00696AE2"/>
    <w:rsid w:val="006A12E3"/>
    <w:rsid w:val="006A4869"/>
    <w:rsid w:val="006B1E28"/>
    <w:rsid w:val="006C3E1C"/>
    <w:rsid w:val="006D0853"/>
    <w:rsid w:val="006D1DC6"/>
    <w:rsid w:val="006D2010"/>
    <w:rsid w:val="006D35D9"/>
    <w:rsid w:val="006D4771"/>
    <w:rsid w:val="006E4A2F"/>
    <w:rsid w:val="006E52A6"/>
    <w:rsid w:val="006E6AB3"/>
    <w:rsid w:val="006F4E0C"/>
    <w:rsid w:val="006F5008"/>
    <w:rsid w:val="006F6FF6"/>
    <w:rsid w:val="00703323"/>
    <w:rsid w:val="0070480E"/>
    <w:rsid w:val="007138D3"/>
    <w:rsid w:val="00717F6A"/>
    <w:rsid w:val="007329D6"/>
    <w:rsid w:val="00735C51"/>
    <w:rsid w:val="007422AD"/>
    <w:rsid w:val="007517AA"/>
    <w:rsid w:val="00756DC2"/>
    <w:rsid w:val="0076121A"/>
    <w:rsid w:val="007639C4"/>
    <w:rsid w:val="00765D25"/>
    <w:rsid w:val="00765EB7"/>
    <w:rsid w:val="00771E55"/>
    <w:rsid w:val="007839E0"/>
    <w:rsid w:val="00783B4D"/>
    <w:rsid w:val="00784051"/>
    <w:rsid w:val="00785AA3"/>
    <w:rsid w:val="007A2702"/>
    <w:rsid w:val="007B0C8F"/>
    <w:rsid w:val="007B2A5F"/>
    <w:rsid w:val="007B613B"/>
    <w:rsid w:val="007C17BA"/>
    <w:rsid w:val="007C29EF"/>
    <w:rsid w:val="007D79BC"/>
    <w:rsid w:val="00803D4C"/>
    <w:rsid w:val="00813609"/>
    <w:rsid w:val="00813926"/>
    <w:rsid w:val="0081518F"/>
    <w:rsid w:val="00816C30"/>
    <w:rsid w:val="008216C7"/>
    <w:rsid w:val="008234CC"/>
    <w:rsid w:val="00831134"/>
    <w:rsid w:val="0083251D"/>
    <w:rsid w:val="00832FAF"/>
    <w:rsid w:val="00833F3B"/>
    <w:rsid w:val="0083580C"/>
    <w:rsid w:val="0084279C"/>
    <w:rsid w:val="00864DBC"/>
    <w:rsid w:val="00871D8B"/>
    <w:rsid w:val="0088209A"/>
    <w:rsid w:val="0088552F"/>
    <w:rsid w:val="0089226D"/>
    <w:rsid w:val="00897843"/>
    <w:rsid w:val="00897F7B"/>
    <w:rsid w:val="008A4B6A"/>
    <w:rsid w:val="008B1ECC"/>
    <w:rsid w:val="008C36F0"/>
    <w:rsid w:val="008C5D35"/>
    <w:rsid w:val="008E3DF7"/>
    <w:rsid w:val="008E5038"/>
    <w:rsid w:val="008E55AE"/>
    <w:rsid w:val="008E635E"/>
    <w:rsid w:val="009126C9"/>
    <w:rsid w:val="0091724C"/>
    <w:rsid w:val="00921A5B"/>
    <w:rsid w:val="009242D4"/>
    <w:rsid w:val="00925535"/>
    <w:rsid w:val="00926F89"/>
    <w:rsid w:val="00930999"/>
    <w:rsid w:val="009351BD"/>
    <w:rsid w:val="009432D5"/>
    <w:rsid w:val="00944D34"/>
    <w:rsid w:val="009462CA"/>
    <w:rsid w:val="00957D2F"/>
    <w:rsid w:val="00957FFE"/>
    <w:rsid w:val="009630AB"/>
    <w:rsid w:val="00966308"/>
    <w:rsid w:val="00972DC3"/>
    <w:rsid w:val="00976BAE"/>
    <w:rsid w:val="00983BD4"/>
    <w:rsid w:val="00985587"/>
    <w:rsid w:val="009934C9"/>
    <w:rsid w:val="00994654"/>
    <w:rsid w:val="009A0A0D"/>
    <w:rsid w:val="009A6F6C"/>
    <w:rsid w:val="009B0F5E"/>
    <w:rsid w:val="009B2442"/>
    <w:rsid w:val="009B3D2E"/>
    <w:rsid w:val="009B5C90"/>
    <w:rsid w:val="009C0BA4"/>
    <w:rsid w:val="009C7698"/>
    <w:rsid w:val="009C7C7A"/>
    <w:rsid w:val="009D6364"/>
    <w:rsid w:val="009E171F"/>
    <w:rsid w:val="009E2311"/>
    <w:rsid w:val="009E412D"/>
    <w:rsid w:val="009E5D55"/>
    <w:rsid w:val="00A02423"/>
    <w:rsid w:val="00A02C04"/>
    <w:rsid w:val="00A06F3C"/>
    <w:rsid w:val="00A11D3F"/>
    <w:rsid w:val="00A224EE"/>
    <w:rsid w:val="00A22685"/>
    <w:rsid w:val="00A26255"/>
    <w:rsid w:val="00A33399"/>
    <w:rsid w:val="00A3468D"/>
    <w:rsid w:val="00A34995"/>
    <w:rsid w:val="00A357CA"/>
    <w:rsid w:val="00A40FCC"/>
    <w:rsid w:val="00A43DC3"/>
    <w:rsid w:val="00A5255B"/>
    <w:rsid w:val="00A56D47"/>
    <w:rsid w:val="00A80380"/>
    <w:rsid w:val="00A81468"/>
    <w:rsid w:val="00A8157B"/>
    <w:rsid w:val="00A90F60"/>
    <w:rsid w:val="00AA0994"/>
    <w:rsid w:val="00AA1B03"/>
    <w:rsid w:val="00AA2BC8"/>
    <w:rsid w:val="00AB2010"/>
    <w:rsid w:val="00AB45FD"/>
    <w:rsid w:val="00AC0DB9"/>
    <w:rsid w:val="00AC16EA"/>
    <w:rsid w:val="00AC47C5"/>
    <w:rsid w:val="00AC4D1B"/>
    <w:rsid w:val="00AC58A9"/>
    <w:rsid w:val="00AD4180"/>
    <w:rsid w:val="00AE2FDD"/>
    <w:rsid w:val="00AE4D33"/>
    <w:rsid w:val="00AE55FC"/>
    <w:rsid w:val="00AE6C37"/>
    <w:rsid w:val="00AF2F2B"/>
    <w:rsid w:val="00B00EF8"/>
    <w:rsid w:val="00B01CDA"/>
    <w:rsid w:val="00B05344"/>
    <w:rsid w:val="00B107EE"/>
    <w:rsid w:val="00B1354E"/>
    <w:rsid w:val="00B13E40"/>
    <w:rsid w:val="00B15F9C"/>
    <w:rsid w:val="00B229F2"/>
    <w:rsid w:val="00B22C0E"/>
    <w:rsid w:val="00B23BEE"/>
    <w:rsid w:val="00B25210"/>
    <w:rsid w:val="00B33653"/>
    <w:rsid w:val="00B343E4"/>
    <w:rsid w:val="00B4257E"/>
    <w:rsid w:val="00B43C48"/>
    <w:rsid w:val="00B451FF"/>
    <w:rsid w:val="00B5290A"/>
    <w:rsid w:val="00B5422B"/>
    <w:rsid w:val="00B548A7"/>
    <w:rsid w:val="00B607CB"/>
    <w:rsid w:val="00B60EC9"/>
    <w:rsid w:val="00B6209E"/>
    <w:rsid w:val="00B6441E"/>
    <w:rsid w:val="00B66B65"/>
    <w:rsid w:val="00B71A3A"/>
    <w:rsid w:val="00B76E63"/>
    <w:rsid w:val="00B86872"/>
    <w:rsid w:val="00B929BC"/>
    <w:rsid w:val="00BB4923"/>
    <w:rsid w:val="00BB5480"/>
    <w:rsid w:val="00BB6641"/>
    <w:rsid w:val="00BB796D"/>
    <w:rsid w:val="00BC2134"/>
    <w:rsid w:val="00BC3E93"/>
    <w:rsid w:val="00BC469B"/>
    <w:rsid w:val="00BE5953"/>
    <w:rsid w:val="00BE5AF3"/>
    <w:rsid w:val="00BE5E1E"/>
    <w:rsid w:val="00BF36F8"/>
    <w:rsid w:val="00C059AA"/>
    <w:rsid w:val="00C12CEF"/>
    <w:rsid w:val="00C15B01"/>
    <w:rsid w:val="00C20FB7"/>
    <w:rsid w:val="00C23519"/>
    <w:rsid w:val="00C27040"/>
    <w:rsid w:val="00C30538"/>
    <w:rsid w:val="00C40B37"/>
    <w:rsid w:val="00C462A8"/>
    <w:rsid w:val="00C475F4"/>
    <w:rsid w:val="00C51841"/>
    <w:rsid w:val="00C574B2"/>
    <w:rsid w:val="00C60104"/>
    <w:rsid w:val="00C743F8"/>
    <w:rsid w:val="00C8014D"/>
    <w:rsid w:val="00C84654"/>
    <w:rsid w:val="00C8472D"/>
    <w:rsid w:val="00C8545E"/>
    <w:rsid w:val="00C9104B"/>
    <w:rsid w:val="00C9309A"/>
    <w:rsid w:val="00C93E0A"/>
    <w:rsid w:val="00C97149"/>
    <w:rsid w:val="00C97312"/>
    <w:rsid w:val="00C97A2E"/>
    <w:rsid w:val="00CA0584"/>
    <w:rsid w:val="00CA5D81"/>
    <w:rsid w:val="00CB711C"/>
    <w:rsid w:val="00CD0EB8"/>
    <w:rsid w:val="00CD3FF8"/>
    <w:rsid w:val="00CD6322"/>
    <w:rsid w:val="00CD75A5"/>
    <w:rsid w:val="00CE7235"/>
    <w:rsid w:val="00CF309A"/>
    <w:rsid w:val="00CF67C4"/>
    <w:rsid w:val="00D03E0E"/>
    <w:rsid w:val="00D11B6A"/>
    <w:rsid w:val="00D12864"/>
    <w:rsid w:val="00D154A8"/>
    <w:rsid w:val="00D21BDC"/>
    <w:rsid w:val="00D21CCA"/>
    <w:rsid w:val="00D220F0"/>
    <w:rsid w:val="00D22DA0"/>
    <w:rsid w:val="00D2382A"/>
    <w:rsid w:val="00D30826"/>
    <w:rsid w:val="00D33D6F"/>
    <w:rsid w:val="00D36484"/>
    <w:rsid w:val="00D429B2"/>
    <w:rsid w:val="00D42B41"/>
    <w:rsid w:val="00D46141"/>
    <w:rsid w:val="00D51CC1"/>
    <w:rsid w:val="00D53276"/>
    <w:rsid w:val="00D53810"/>
    <w:rsid w:val="00D61AD6"/>
    <w:rsid w:val="00D62D57"/>
    <w:rsid w:val="00D647AB"/>
    <w:rsid w:val="00D65631"/>
    <w:rsid w:val="00D7069C"/>
    <w:rsid w:val="00D72D00"/>
    <w:rsid w:val="00D731CC"/>
    <w:rsid w:val="00D76E6F"/>
    <w:rsid w:val="00D778B7"/>
    <w:rsid w:val="00D8317E"/>
    <w:rsid w:val="00D86A26"/>
    <w:rsid w:val="00D93F80"/>
    <w:rsid w:val="00D955C3"/>
    <w:rsid w:val="00D957F8"/>
    <w:rsid w:val="00DA1891"/>
    <w:rsid w:val="00DA1EEA"/>
    <w:rsid w:val="00DA20C0"/>
    <w:rsid w:val="00DA26F7"/>
    <w:rsid w:val="00DB1CEC"/>
    <w:rsid w:val="00DB2B47"/>
    <w:rsid w:val="00DC156F"/>
    <w:rsid w:val="00DC158B"/>
    <w:rsid w:val="00DC3DBA"/>
    <w:rsid w:val="00DC46E1"/>
    <w:rsid w:val="00DC5A47"/>
    <w:rsid w:val="00DC6232"/>
    <w:rsid w:val="00DD50E0"/>
    <w:rsid w:val="00DD6CAE"/>
    <w:rsid w:val="00DD722A"/>
    <w:rsid w:val="00DE3F46"/>
    <w:rsid w:val="00DE4927"/>
    <w:rsid w:val="00DE54C7"/>
    <w:rsid w:val="00DE7BB6"/>
    <w:rsid w:val="00DF5205"/>
    <w:rsid w:val="00E0216F"/>
    <w:rsid w:val="00E04E0F"/>
    <w:rsid w:val="00E07051"/>
    <w:rsid w:val="00E073DC"/>
    <w:rsid w:val="00E10627"/>
    <w:rsid w:val="00E114FA"/>
    <w:rsid w:val="00E2111F"/>
    <w:rsid w:val="00E25EB5"/>
    <w:rsid w:val="00E27FE3"/>
    <w:rsid w:val="00E3300F"/>
    <w:rsid w:val="00E40BE0"/>
    <w:rsid w:val="00E52F01"/>
    <w:rsid w:val="00E533CD"/>
    <w:rsid w:val="00E53F24"/>
    <w:rsid w:val="00E55766"/>
    <w:rsid w:val="00E55ED0"/>
    <w:rsid w:val="00E62604"/>
    <w:rsid w:val="00E637F4"/>
    <w:rsid w:val="00E650F4"/>
    <w:rsid w:val="00E721F9"/>
    <w:rsid w:val="00E76548"/>
    <w:rsid w:val="00E91714"/>
    <w:rsid w:val="00E91A8D"/>
    <w:rsid w:val="00E976B9"/>
    <w:rsid w:val="00EA0895"/>
    <w:rsid w:val="00EA529B"/>
    <w:rsid w:val="00EA75B7"/>
    <w:rsid w:val="00EB7492"/>
    <w:rsid w:val="00EB7BCE"/>
    <w:rsid w:val="00EC1321"/>
    <w:rsid w:val="00EC4D75"/>
    <w:rsid w:val="00ED1EA6"/>
    <w:rsid w:val="00F035CA"/>
    <w:rsid w:val="00F05A3B"/>
    <w:rsid w:val="00F10778"/>
    <w:rsid w:val="00F12DF7"/>
    <w:rsid w:val="00F22485"/>
    <w:rsid w:val="00F27914"/>
    <w:rsid w:val="00F34E22"/>
    <w:rsid w:val="00F36A32"/>
    <w:rsid w:val="00F4646D"/>
    <w:rsid w:val="00F5143A"/>
    <w:rsid w:val="00F608C0"/>
    <w:rsid w:val="00F678B6"/>
    <w:rsid w:val="00F72A53"/>
    <w:rsid w:val="00F80CDF"/>
    <w:rsid w:val="00F83834"/>
    <w:rsid w:val="00F90BAA"/>
    <w:rsid w:val="00FA1931"/>
    <w:rsid w:val="00FA22E6"/>
    <w:rsid w:val="00FB3C05"/>
    <w:rsid w:val="00FD566A"/>
    <w:rsid w:val="00FD7A74"/>
    <w:rsid w:val="00FE5658"/>
    <w:rsid w:val="00FE60DE"/>
    <w:rsid w:val="00FE77CE"/>
    <w:rsid w:val="00FF36EF"/>
    <w:rsid w:val="00FF4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semiHidden/>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paragraph" w:styleId="HTMLiankstoformatuotas">
    <w:name w:val="HTML Preformatted"/>
    <w:basedOn w:val="prastasis"/>
    <w:link w:val="HTMLiankstoformatuotasDiagrama"/>
    <w:rsid w:val="00DD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D722A"/>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8</cp:revision>
  <cp:lastPrinted>2020-02-11T14:18:00Z</cp:lastPrinted>
  <dcterms:created xsi:type="dcterms:W3CDTF">2026-04-17T09:19:00Z</dcterms:created>
  <dcterms:modified xsi:type="dcterms:W3CDTF">2026-04-17T11:08:00Z</dcterms:modified>
</cp:coreProperties>
</file>