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4B6D6BE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612D8A10"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r w:rsidR="00E12D9B" w:rsidRPr="007F2230">
              <w:rPr>
                <w:rFonts w:ascii="Arial" w:eastAsia="Cambria" w:hAnsi="Arial" w:cs="Arial"/>
                <w:szCs w:val="24"/>
              </w:rPr>
              <w:br/>
            </w: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3889FD3E"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Tiekėjas gali pateikti per informacinę sistemą „E. sąskaita“ (</w:t>
            </w:r>
            <w:r w:rsidR="00DE5BC0" w:rsidRPr="007F2230">
              <w:rPr>
                <w:rFonts w:ascii="Arial" w:eastAsia="Arial" w:hAnsi="Arial" w:cs="Arial"/>
                <w:color w:val="0000FF"/>
                <w:szCs w:val="24"/>
                <w:u w:val="single"/>
              </w:rPr>
              <w:t>www.esaskaita.eu</w:t>
            </w:r>
            <w:r w:rsidR="00DE5BC0" w:rsidRPr="007F2230">
              <w:rPr>
                <w:rFonts w:ascii="Arial" w:eastAsia="Arial" w:hAnsi="Arial" w:cs="Arial"/>
                <w:szCs w:val="24"/>
              </w:rPr>
              <w:t>) arba per kitą savo pasirinktą informacinę sistemą;</w:t>
            </w:r>
          </w:p>
          <w:p w14:paraId="3619E5E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Europos elektroninių sąskaitų faktūrų standarto neatitinkančią elektroninę sąskaitą faktūrą Tiekėjas privalo pateikti, naudodamasis informacinės sistemos „E. sąskaita“ priemonėmis (</w:t>
            </w:r>
            <w:r w:rsidRPr="007F2230">
              <w:rPr>
                <w:rFonts w:ascii="Arial" w:eastAsia="Arial" w:hAnsi="Arial" w:cs="Arial"/>
                <w:color w:val="0000FF"/>
                <w:szCs w:val="24"/>
                <w:u w:val="single"/>
              </w:rPr>
              <w:t>www.esaskaita.eu</w:t>
            </w:r>
            <w:r w:rsidRPr="007F2230">
              <w:rPr>
                <w:rFonts w:ascii="Arial" w:eastAsia="Arial" w:hAnsi="Arial" w:cs="Arial"/>
                <w:szCs w:val="24"/>
              </w:rPr>
              <w:t>).</w:t>
            </w:r>
          </w:p>
          <w:p w14:paraId="1A95C14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Goods;</w:t>
            </w:r>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purchases the Goods specified in the Special Conditions and the Annexes to the Contract</w:t>
            </w:r>
            <w:r w:rsidRPr="007F2230">
              <w:rPr>
                <w:rFonts w:ascii="Arial" w:eastAsia="Arial" w:hAnsi="Arial" w:cs="Arial"/>
                <w:szCs w:val="24"/>
                <w:lang w:val="en-GB"/>
              </w:rPr>
              <w:t>;</w:t>
            </w:r>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r w:rsidRPr="007F2230">
              <w:rPr>
                <w:rFonts w:ascii="Arial" w:eastAsia="Arial" w:hAnsi="Arial" w:cs="Arial"/>
                <w:bCs/>
                <w:szCs w:val="24"/>
                <w:lang w:val="en-GB"/>
              </w:rPr>
              <w:t>;</w:t>
            </w:r>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accepts the Goods and by which the Parties confirm that the Goods delivered comply with the specified requirements. If the Contract provides for the delivery of the Goods in instalments, the Goods Transfer and Acceptance Deed may be executed for each instalment separately;</w:t>
            </w:r>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If the Contract provides for delivery of the Goods in instalments, the Invoice may be submitted in respect of each instalment separately;</w:t>
            </w:r>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is a document entered into by the Parties to modify the terms of the Contract to the extent permitted by the LPP;</w:t>
            </w:r>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means the final amount payable to the Supplier under the Contract, including all applicable taxes and expenses;</w:t>
            </w:r>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together;</w:t>
            </w:r>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means the Contract of the sale of Goods, consisting of the Terms and Conditions of the Contract, the Annexes listed in the Special Terms and Conditions and the Agreements;</w:t>
            </w:r>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means the Buyer or the Supplier, each individually, depending on the context;</w:t>
            </w:r>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mean the Buyer and the Supplier jointly;</w:t>
            </w:r>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supplying the Goods specified in the Special Terms and Conditions;</w:t>
            </w:r>
          </w:p>
          <w:p w14:paraId="55F7BC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szCs w:val="24"/>
                <w:lang w:val="en-GB"/>
              </w:rPr>
              <w:tab/>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1.1.1.17. The </w:t>
            </w:r>
            <w:r w:rsidRPr="007F2230">
              <w:rPr>
                <w:rFonts w:ascii="Arial" w:eastAsia="Arial" w:hAnsi="Arial" w:cs="Arial"/>
                <w:szCs w:val="24"/>
                <w:lang w:val="en-GB"/>
              </w:rPr>
              <w:tab/>
              <w:t>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t xml:space="preserve">In the event that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1.3.1.The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Technical Specification;</w:t>
            </w:r>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1.3.1.2 Special Terms and Conditions;</w:t>
            </w:r>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1.3.1.3 General Terms and Conditions;</w:t>
            </w:r>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1.3.1.5 Tender;</w:t>
            </w:r>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r w:rsidRPr="007F2230">
              <w:rPr>
                <w:rFonts w:ascii="Arial" w:eastAsia="Arial" w:hAnsi="Arial" w:cs="Arial"/>
                <w:szCs w:val="24"/>
                <w:lang w:val="en-GB"/>
              </w:rPr>
              <w:lastRenderedPageBreak/>
              <w:t>Contract;</w:t>
            </w:r>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meet the requirements for the qualification of suppliers set out in the contract documents for the proper performance of the Contract and do not have the grounds for exclusion set out in the contract documents;</w:t>
            </w:r>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comply with the obligations set out in the Supplier’s Tender, including but not limited to compliance with the values and parameters of the qualitative criteria set out in the Contract Documents;</w:t>
            </w:r>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ensure the application of the established standards of the quality management system and/or the environmental management system, where required by the contract documents, and have documentation to prove it;</w:t>
            </w:r>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t xml:space="preserve">In the event that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operators for the performance of the Contract (if so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relied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is bankrupt, has been declared bankrupt out of court, is insolvent or is likely to become insolvent, suspends its business activities, or where a similar situation arises in accordance with the procedure laid down by law or regulation</w:t>
            </w:r>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submission of details of the intended new appointment and documents confirming the qualifications of the specialist and his/her compliance with the other requirements of the Contract Documents;</w:t>
            </w:r>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in order to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change;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3.3.2. The Supplier performing the Contract on a joint operation basis shall have the right to change its partner if, as a result of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 xml:space="preserve">in the event of the withdrawal of a partner, shall state that the obligations of the withdrawing partner shall be assumed in full by the remaining joint operation partner (hereinafter referred to as the remaining partner);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Contract;</w:t>
            </w:r>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Buyer shall inform the sub-suppliers in writing of the possibility of direct payment no later than 3 (three) working days after receipt of the information referred to in point 3.4.1.1 of the General Terms and Conditions;</w:t>
            </w:r>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subcontract;</w:t>
            </w:r>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t>In the event that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6.1.1.The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6.1.1.4. A handover and acceptance certificate or handover and acceptance certificates, if the Goods are to be delivered in instalments, or any other document provided for in the Contract, has been executed and the Goods shall be deemed to have been accepted from the time of signing thereof;</w:t>
            </w:r>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the Contract and the Tender, which must be fulfilled in order for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6.2.2.The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period of time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7.2.3.1. if the Goods comply with the requirements specified in the Contract, the Buyer;</w:t>
            </w:r>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7.4.2. The amount payable to the Supplier under the Contract shall be reduced to the extent that the value of the Goods to the Buyer is diminished as a result of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t xml:space="preserve">In the event that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in order to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Contract, or fails to perform its obligations in whole or in part (or not in accordance with the terms of the Contract), the Buyer may invoke the Contract Performance Security. In order to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Contract;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time;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Contract;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 The Contract Price payable by the Buyer to the Supplier for the Goods actually delivered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in the event that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an Advance Security issued by a credit union, the provisions of this Sub-clause shall apply as appropriate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1904CB15"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An electronic invoice compliant with the European Standard for Electronic Invoicing, the reference of which was published on 16 October 2017. The Supplier may submit the invoice through the e-invoicing information system “</w:t>
            </w:r>
            <w:proofErr w:type="spellStart"/>
            <w:proofErr w:type="gramStart"/>
            <w:r w:rsidRPr="007F2230">
              <w:rPr>
                <w:rFonts w:ascii="Arial" w:eastAsia="Arial" w:hAnsi="Arial" w:cs="Arial"/>
                <w:szCs w:val="24"/>
                <w:lang w:val="en-GB"/>
              </w:rPr>
              <w:t>E</w:t>
            </w:r>
            <w:r w:rsidR="00F9313E">
              <w:rPr>
                <w:rFonts w:ascii="Arial" w:eastAsia="Arial" w:hAnsi="Arial" w:cs="Arial"/>
                <w:szCs w:val="24"/>
                <w:lang w:val="en-GB"/>
              </w:rPr>
              <w:t>.</w:t>
            </w:r>
            <w:r w:rsidRPr="007F2230">
              <w:rPr>
                <w:rFonts w:ascii="Arial" w:eastAsia="Arial" w:hAnsi="Arial" w:cs="Arial"/>
                <w:szCs w:val="24"/>
                <w:lang w:val="en-GB"/>
              </w:rPr>
              <w:t>Invoice</w:t>
            </w:r>
            <w:proofErr w:type="spellEnd"/>
            <w:proofErr w:type="gramEnd"/>
            <w:r w:rsidRPr="007F2230">
              <w:rPr>
                <w:rFonts w:ascii="Arial" w:eastAsia="Arial" w:hAnsi="Arial" w:cs="Arial"/>
                <w:szCs w:val="24"/>
                <w:lang w:val="en-GB"/>
              </w:rPr>
              <w:t xml:space="preserve">” </w:t>
            </w:r>
            <w:r w:rsidRPr="007F2230">
              <w:rPr>
                <w:rFonts w:ascii="Arial" w:eastAsia="Arial" w:hAnsi="Arial" w:cs="Arial"/>
                <w:color w:val="0000FF"/>
                <w:szCs w:val="24"/>
                <w:u w:val="single"/>
                <w:lang w:val="en-GB"/>
              </w:rPr>
              <w:t xml:space="preserve">(www.esaskaita.eu)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12.2.1.2. An electronic invoice that does not comply with the European Standard for Electronic Invoicing must be submitted by the Supplier using the tools of the information system “E.Invoice” </w:t>
            </w:r>
            <w:r w:rsidRPr="007F2230">
              <w:rPr>
                <w:rFonts w:ascii="Arial" w:eastAsia="Arial" w:hAnsi="Arial" w:cs="Arial"/>
                <w:color w:val="0000FF"/>
                <w:szCs w:val="24"/>
                <w:u w:val="single"/>
                <w:lang w:val="en-GB"/>
              </w:rPr>
              <w:t>(</w:t>
            </w:r>
            <w:r w:rsidRPr="007F2230">
              <w:rPr>
                <w:rFonts w:ascii="Arial" w:eastAsia="Arial" w:hAnsi="Arial" w:cs="Arial"/>
                <w:szCs w:val="24"/>
                <w:lang w:val="en-GB"/>
              </w:rPr>
              <w:t>www.esaskaita.eu).</w:t>
            </w:r>
          </w:p>
          <w:p w14:paraId="65D3BF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12.2.2. The Buyer shall accept and process electronic invoices by means of the information system “E.Invoice”,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own;</w:t>
            </w:r>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Party’s confidential information or any part thereof, or for any unauthorised use of the confidential information;</w:t>
            </w:r>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16.1.1. All necessary decisions, authorisations and consents have been validly made and are in force, and all other legal acts necessary for the formation, validity and performance of the Contract have been validly performed and are in force;</w:t>
            </w:r>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applicable to it, any court or arbitral judgments, administrative acts, contracts or other obligations under applicable private law, public law, European Union law or international law;</w:t>
            </w:r>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Party’s willingness to enter into the Contract on the terms and conditions set out in the Contract and to perform its obligations under the Contract;</w:t>
            </w:r>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Contract;</w:t>
            </w:r>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17.3 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Liability under the Contract shall not apply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apply;</w:t>
            </w:r>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18.1.2. Due to acts of the States of the European Union. Where performance of the obligation under the Contract is prevented by mandatory and unforeseeable actions (acts) of the authorities of a State of the European Union, which the Parties were not entitled to challenge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an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regulation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Contract;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Contract;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Buyer;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Contract;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Contract;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Goods;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Days, and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analogous to that provided for by law or regulation</w:t>
            </w:r>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22.2.2.2. The Supplier’s situation changes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change;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exist;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exist;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22.2.2.6. The Buyer’s financial situation changes/deteriorates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Contract;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Goods;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22.2.2.9. The Buyer receives a direction/recommendation from the Procurement Supervisory Authorities to terminate the Contract;</w:t>
            </w:r>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22.2.2.10. The Supplier delays or refuses to provide an extension of the Contract Performance Security for more than ten (10) working days after the expiry of the last period of validity of the Contract Performance Security;</w:t>
            </w:r>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Supplier refuses or fails to remedy any defects in the Goods within reasonable time limits set by the Buyer;</w:t>
            </w:r>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is in conflict with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enter into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In the event that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acts;</w:t>
            </w:r>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terminated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delivered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Contract;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The Supplier shall be entitled to change the model or manufacturer of the Goods provided that all of the following conditions are met:</w:t>
            </w:r>
          </w:p>
          <w:p w14:paraId="14393F70" w14:textId="4C4608DC"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23.1.1. If the Goods specified in the Supplier’s </w:t>
            </w:r>
            <w:r w:rsidR="005423DB">
              <w:rPr>
                <w:rFonts w:ascii="Arial" w:hAnsi="Arial" w:cs="Arial"/>
                <w:szCs w:val="24"/>
                <w:lang w:val="en-GB"/>
              </w:rPr>
              <w:t>tender</w:t>
            </w:r>
            <w:r w:rsidRPr="007F2230">
              <w:rPr>
                <w:rFonts w:ascii="Arial" w:hAnsi="Arial" w:cs="Arial"/>
                <w:szCs w:val="24"/>
                <w:lang w:val="en-GB"/>
              </w:rPr>
              <w:t xml:space="preserve">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1</w:t>
            </w:r>
            <w:r w:rsidR="005969AB">
              <w:rPr>
                <w:rFonts w:ascii="Arial" w:hAnsi="Arial" w:cs="Arial"/>
                <w:szCs w:val="24"/>
                <w:vertAlign w:val="superscript"/>
                <w:lang w:val="en-GB"/>
              </w:rPr>
              <w:t xml:space="preserve"> </w:t>
            </w:r>
            <w:r w:rsidR="005969AB" w:rsidRPr="005969AB">
              <w:rPr>
                <w:rFonts w:ascii="Arial" w:hAnsi="Arial" w:cs="Arial"/>
                <w:szCs w:val="24"/>
                <w:lang w:val="en-GB"/>
              </w:rPr>
              <w:t>of the LPP</w:t>
            </w:r>
            <w:r w:rsidRPr="007F2230">
              <w:rPr>
                <w:rFonts w:ascii="Arial" w:hAnsi="Arial" w:cs="Arial"/>
                <w:szCs w:val="24"/>
                <w:vertAlign w:val="superscript"/>
                <w:lang w:val="en-GB"/>
              </w:rPr>
              <w:t xml:space="preserve"> </w:t>
            </w:r>
            <w:r w:rsidRPr="007F2230">
              <w:rPr>
                <w:rFonts w:ascii="Arial" w:hAnsi="Arial" w:cs="Arial"/>
                <w:szCs w:val="24"/>
                <w:lang w:val="en-GB"/>
              </w:rPr>
              <w:t>;</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provided;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and of equivalent or better quality than the Goods currently supplied</w:t>
            </w:r>
            <w:r w:rsidRPr="007F2230">
              <w:rPr>
                <w:rFonts w:ascii="Arial" w:hAnsi="Arial" w:cs="Arial"/>
                <w:szCs w:val="24"/>
                <w:lang w:val="en-GB"/>
              </w:rPr>
              <w:t>;</w:t>
            </w:r>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head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5CCE" w14:textId="77777777" w:rsidR="00EB6252" w:rsidRDefault="00EB6252" w:rsidP="00AB1DDF">
      <w:r>
        <w:separator/>
      </w:r>
    </w:p>
  </w:endnote>
  <w:endnote w:type="continuationSeparator" w:id="0">
    <w:p w14:paraId="2299CA4D" w14:textId="77777777" w:rsidR="00EB6252" w:rsidRDefault="00EB6252" w:rsidP="00A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74D3" w14:textId="77777777" w:rsidR="00EB6252" w:rsidRDefault="00EB6252" w:rsidP="00AB1DDF">
      <w:r>
        <w:separator/>
      </w:r>
    </w:p>
  </w:footnote>
  <w:footnote w:type="continuationSeparator" w:id="0">
    <w:p w14:paraId="412730B8" w14:textId="77777777" w:rsidR="00EB6252" w:rsidRDefault="00EB6252" w:rsidP="00AB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9DBD" w14:textId="74638CAC" w:rsidR="00AB1DDF" w:rsidRPr="00AB1DDF" w:rsidRDefault="00AB1DDF" w:rsidP="00AB1DDF">
    <w:pPr>
      <w:pStyle w:val="Header"/>
      <w:jc w:val="right"/>
      <w:rPr>
        <w:rFonts w:ascii="Arial" w:hAnsi="Arial" w:cs="Arial"/>
        <w:sz w:val="20"/>
        <w:lang w:val="en-US"/>
      </w:rPr>
    </w:pPr>
    <w:r w:rsidRPr="00AB1DDF">
      <w:rPr>
        <w:rFonts w:ascii="Arial" w:hAnsi="Arial" w:cs="Arial"/>
        <w:sz w:val="20"/>
        <w:lang w:val="en-US"/>
      </w:rPr>
      <w:t xml:space="preserve">5 </w:t>
    </w:r>
    <w:proofErr w:type="spellStart"/>
    <w:r w:rsidRPr="00AB1DDF">
      <w:rPr>
        <w:rFonts w:ascii="Arial" w:hAnsi="Arial" w:cs="Arial"/>
        <w:sz w:val="20"/>
        <w:lang w:val="en-US"/>
      </w:rPr>
      <w:t>priedas</w:t>
    </w:r>
    <w:proofErr w:type="spellEnd"/>
    <w:r w:rsidRPr="00AB1DDF">
      <w:rPr>
        <w:rFonts w:ascii="Arial" w:hAnsi="Arial" w:cs="Arial"/>
        <w:sz w:val="20"/>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87955"/>
    <w:rsid w:val="00241D59"/>
    <w:rsid w:val="002D5ECE"/>
    <w:rsid w:val="00346A4A"/>
    <w:rsid w:val="00422800"/>
    <w:rsid w:val="00436789"/>
    <w:rsid w:val="00534FCE"/>
    <w:rsid w:val="005423DB"/>
    <w:rsid w:val="00547F4E"/>
    <w:rsid w:val="005969AB"/>
    <w:rsid w:val="00665C44"/>
    <w:rsid w:val="006D5401"/>
    <w:rsid w:val="00782EAD"/>
    <w:rsid w:val="0079444E"/>
    <w:rsid w:val="007F2230"/>
    <w:rsid w:val="00894B17"/>
    <w:rsid w:val="008E0B1C"/>
    <w:rsid w:val="0097256A"/>
    <w:rsid w:val="00AB1DDF"/>
    <w:rsid w:val="00B20AB7"/>
    <w:rsid w:val="00D94417"/>
    <w:rsid w:val="00DD5DDD"/>
    <w:rsid w:val="00DE0386"/>
    <w:rsid w:val="00DE5BC0"/>
    <w:rsid w:val="00E12D9B"/>
    <w:rsid w:val="00EB6252"/>
    <w:rsid w:val="00F05615"/>
    <w:rsid w:val="00F9313E"/>
    <w:rsid w:val="00FC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 w:type="paragraph" w:styleId="Header">
    <w:name w:val="header"/>
    <w:basedOn w:val="Normal"/>
    <w:link w:val="HeaderChar"/>
    <w:uiPriority w:val="99"/>
    <w:unhideWhenUsed/>
    <w:rsid w:val="00AB1DDF"/>
    <w:pPr>
      <w:tabs>
        <w:tab w:val="center" w:pos="4680"/>
        <w:tab w:val="right" w:pos="9360"/>
      </w:tabs>
    </w:pPr>
  </w:style>
  <w:style w:type="character" w:customStyle="1" w:styleId="HeaderChar">
    <w:name w:val="Header Char"/>
    <w:basedOn w:val="DefaultParagraphFont"/>
    <w:link w:val="Header"/>
    <w:uiPriority w:val="99"/>
    <w:rsid w:val="00AB1DD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AB1DDF"/>
    <w:pPr>
      <w:tabs>
        <w:tab w:val="center" w:pos="4680"/>
        <w:tab w:val="right" w:pos="9360"/>
      </w:tabs>
    </w:pPr>
  </w:style>
  <w:style w:type="character" w:customStyle="1" w:styleId="FooterChar">
    <w:name w:val="Footer Char"/>
    <w:basedOn w:val="DefaultParagraphFont"/>
    <w:link w:val="Footer"/>
    <w:uiPriority w:val="99"/>
    <w:rsid w:val="00AB1DDF"/>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30B9-FDD4-49C1-8D23-2A4BB9B7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14B5F-830D-4116-AFBA-B1FE4FFAE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7C701-7A45-408F-BA04-2EFDCBD42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26182</Words>
  <Characters>149242</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Rasa Baliukonytė</cp:lastModifiedBy>
  <cp:revision>6</cp:revision>
  <dcterms:created xsi:type="dcterms:W3CDTF">2024-06-18T07:50:00Z</dcterms:created>
  <dcterms:modified xsi:type="dcterms:W3CDTF">2025-01-13T07:54:00Z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