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C8780" w14:textId="20D881BC" w:rsidR="001F028F" w:rsidRPr="0079527F" w:rsidRDefault="001F028F" w:rsidP="00207FAA">
      <w:pPr>
        <w:autoSpaceDE w:val="0"/>
        <w:autoSpaceDN w:val="0"/>
        <w:ind w:left="7200" w:hanging="7200"/>
        <w:rPr>
          <w:lang w:val="lt-LT" w:eastAsia="lt-LT"/>
        </w:rPr>
      </w:pPr>
      <w:bookmarkStart w:id="0" w:name="_Hlk212183887"/>
      <w:r w:rsidRPr="0079527F">
        <w:rPr>
          <w:lang w:val="lt-LT" w:eastAsia="lt-LT"/>
        </w:rPr>
        <w:t>Suinteresuotiems dalyviams</w:t>
      </w:r>
      <w:r w:rsidRPr="0079527F">
        <w:rPr>
          <w:lang w:val="lt-LT" w:eastAsia="lt-LT"/>
        </w:rPr>
        <w:tab/>
      </w:r>
    </w:p>
    <w:p w14:paraId="5196E34F" w14:textId="77777777" w:rsidR="001F028F" w:rsidRPr="0079527F" w:rsidRDefault="001F028F" w:rsidP="001F028F">
      <w:pPr>
        <w:autoSpaceDE w:val="0"/>
        <w:autoSpaceDN w:val="0"/>
        <w:rPr>
          <w:lang w:val="lt-LT" w:eastAsia="lt-LT"/>
        </w:rPr>
      </w:pPr>
      <w:r w:rsidRPr="0079527F">
        <w:rPr>
          <w:lang w:val="lt-LT" w:eastAsia="lt-LT"/>
        </w:rPr>
        <w:tab/>
      </w:r>
      <w:r w:rsidRPr="0079527F">
        <w:rPr>
          <w:lang w:val="lt-LT" w:eastAsia="lt-LT"/>
        </w:rPr>
        <w:tab/>
      </w:r>
      <w:r w:rsidRPr="0079527F">
        <w:rPr>
          <w:lang w:val="lt-LT" w:eastAsia="lt-LT"/>
        </w:rPr>
        <w:tab/>
      </w:r>
      <w:r w:rsidRPr="0079527F">
        <w:rPr>
          <w:lang w:val="lt-LT" w:eastAsia="lt-LT"/>
        </w:rPr>
        <w:tab/>
      </w:r>
      <w:r w:rsidRPr="0079527F">
        <w:rPr>
          <w:lang w:val="lt-LT" w:eastAsia="lt-LT"/>
        </w:rPr>
        <w:tab/>
      </w:r>
    </w:p>
    <w:p w14:paraId="249B352D" w14:textId="77777777" w:rsidR="001F028F" w:rsidRPr="00E46222" w:rsidRDefault="001F028F" w:rsidP="001F028F">
      <w:pPr>
        <w:autoSpaceDE w:val="0"/>
        <w:autoSpaceDN w:val="0"/>
        <w:jc w:val="both"/>
        <w:rPr>
          <w:b/>
          <w:bCs/>
          <w:lang w:val="lt-LT" w:eastAsia="lt-LT"/>
        </w:rPr>
      </w:pPr>
      <w:r w:rsidRPr="00E46222">
        <w:rPr>
          <w:b/>
          <w:bCs/>
          <w:lang w:val="lt-LT" w:eastAsia="lt-LT"/>
        </w:rPr>
        <w:t>ATSAKYMAS Į TIEKĖJO PAKLAUSIMĄ</w:t>
      </w:r>
    </w:p>
    <w:p w14:paraId="7153D344" w14:textId="77777777" w:rsidR="001F028F" w:rsidRPr="00E46222" w:rsidRDefault="001F028F" w:rsidP="001F028F">
      <w:pPr>
        <w:autoSpaceDE w:val="0"/>
        <w:autoSpaceDN w:val="0"/>
        <w:rPr>
          <w:b/>
          <w:bCs/>
          <w:lang w:val="lt-LT" w:eastAsia="lt-LT"/>
        </w:rPr>
      </w:pPr>
    </w:p>
    <w:p w14:paraId="6B3B8F92" w14:textId="77777777" w:rsidR="001A48B4" w:rsidRDefault="001F028F" w:rsidP="001F028F">
      <w:pPr>
        <w:pStyle w:val="prastasiniatinklio"/>
        <w:shd w:val="clear" w:color="auto" w:fill="FFFFFF"/>
        <w:spacing w:before="0" w:beforeAutospacing="0" w:after="150" w:afterAutospacing="0"/>
        <w:ind w:firstLine="1296"/>
        <w:contextualSpacing/>
        <w:jc w:val="both"/>
      </w:pPr>
      <w:r w:rsidRPr="0079527F">
        <w:t xml:space="preserve">Informuojame, kad CVP IS priemonėmis buvo gautas tiekėjo paklausimas </w:t>
      </w:r>
      <w:r w:rsidRPr="0079527F">
        <w:rPr>
          <w:bCs/>
          <w:shd w:val="clear" w:color="auto" w:fill="FFFFFF"/>
        </w:rPr>
        <w:t xml:space="preserve">pirkime </w:t>
      </w:r>
      <w:r w:rsidRPr="0079527F">
        <w:rPr>
          <w:b/>
          <w:bCs/>
          <w:shd w:val="clear" w:color="auto" w:fill="FFFFFF"/>
        </w:rPr>
        <w:t xml:space="preserve">Nr. </w:t>
      </w:r>
      <w:r w:rsidR="008C65C0" w:rsidRPr="008C65C0">
        <w:rPr>
          <w:b/>
          <w:bCs/>
        </w:rPr>
        <w:t>7270866</w:t>
      </w:r>
      <w:r w:rsidR="008C65C0">
        <w:rPr>
          <w:b/>
          <w:bCs/>
        </w:rPr>
        <w:t xml:space="preserve"> </w:t>
      </w:r>
      <w:r>
        <w:rPr>
          <w:b/>
          <w:shd w:val="clear" w:color="auto" w:fill="FFFFFF"/>
        </w:rPr>
        <w:t>–</w:t>
      </w:r>
      <w:r w:rsidRPr="0079527F">
        <w:rPr>
          <w:b/>
          <w:bCs/>
          <w:shd w:val="clear" w:color="auto" w:fill="FFFFFF"/>
        </w:rPr>
        <w:t xml:space="preserve"> </w:t>
      </w:r>
      <w:r w:rsidR="008C65C0" w:rsidRPr="008C65C0">
        <w:rPr>
          <w:b/>
          <w:bCs/>
        </w:rPr>
        <w:t xml:space="preserve">Kompleksinis erdvių sutvarkymas ir pėsčiųjų -dviračių tako palei </w:t>
      </w:r>
      <w:proofErr w:type="spellStart"/>
      <w:r w:rsidR="008C65C0" w:rsidRPr="008C65C0">
        <w:rPr>
          <w:b/>
          <w:bCs/>
        </w:rPr>
        <w:t>Kūnos</w:t>
      </w:r>
      <w:proofErr w:type="spellEnd"/>
      <w:r w:rsidR="008C65C0" w:rsidRPr="008C65C0">
        <w:rPr>
          <w:b/>
          <w:bCs/>
        </w:rPr>
        <w:t xml:space="preserve"> upę Švenčionių mieste statybos darbai</w:t>
      </w:r>
      <w:r w:rsidR="00B250C7" w:rsidRPr="00B250C7">
        <w:rPr>
          <w:b/>
          <w:bCs/>
        </w:rPr>
        <w:t>“</w:t>
      </w:r>
      <w:r w:rsidRPr="0079527F">
        <w:t xml:space="preserve"> (</w:t>
      </w:r>
      <w:r w:rsidRPr="0059342E">
        <w:t>toliau – Pirkimas). Perkančioji</w:t>
      </w:r>
      <w:r w:rsidRPr="0079527F">
        <w:t xml:space="preserve"> organizacija, nepažeisdamas Pirkimo sąlygose nustatytų terminų</w:t>
      </w:r>
      <w:r w:rsidR="001A48B4">
        <w:t xml:space="preserve"> informuoja apie Komisijos priimtus sprendimus:</w:t>
      </w:r>
    </w:p>
    <w:p w14:paraId="37DCC254" w14:textId="6F46F36A" w:rsidR="001F028F" w:rsidRDefault="001A48B4" w:rsidP="001A48B4">
      <w:pPr>
        <w:pStyle w:val="prastasiniatinklio"/>
        <w:numPr>
          <w:ilvl w:val="0"/>
          <w:numId w:val="4"/>
        </w:numPr>
        <w:shd w:val="clear" w:color="auto" w:fill="FFFFFF"/>
        <w:spacing w:before="0" w:beforeAutospacing="0" w:after="150" w:afterAutospacing="0"/>
        <w:contextualSpacing/>
        <w:jc w:val="both"/>
      </w:pPr>
      <w:r w:rsidRPr="0079527F">
        <w:t>T</w:t>
      </w:r>
      <w:r w:rsidR="001F028F" w:rsidRPr="0079527F">
        <w:t>eikia</w:t>
      </w:r>
      <w:r>
        <w:t>me atsakymą į pirkime gautus klausimus</w:t>
      </w:r>
      <w:r w:rsidR="001F028F" w:rsidRPr="0079527F">
        <w:t>:</w:t>
      </w:r>
    </w:p>
    <w:p w14:paraId="24FB5780" w14:textId="77777777" w:rsidR="00A100D1" w:rsidRPr="0079527F" w:rsidRDefault="00A100D1" w:rsidP="001F028F">
      <w:pPr>
        <w:pStyle w:val="prastasiniatinklio"/>
        <w:shd w:val="clear" w:color="auto" w:fill="FFFFFF"/>
        <w:spacing w:before="0" w:beforeAutospacing="0" w:after="150" w:afterAutospacing="0"/>
        <w:ind w:firstLine="1296"/>
        <w:contextualSpacing/>
        <w:jc w:val="both"/>
      </w:pPr>
    </w:p>
    <w:tbl>
      <w:tblPr>
        <w:tblpPr w:leftFromText="180" w:rightFromText="180" w:vertAnchor="text"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4253"/>
        <w:gridCol w:w="5244"/>
      </w:tblGrid>
      <w:tr w:rsidR="001F028F" w:rsidRPr="0069687D" w14:paraId="55D8F109" w14:textId="77777777" w:rsidTr="009B08CD">
        <w:trPr>
          <w:cantSplit/>
        </w:trPr>
        <w:tc>
          <w:tcPr>
            <w:tcW w:w="704" w:type="dxa"/>
            <w:tcBorders>
              <w:top w:val="single" w:sz="4" w:space="0" w:color="000000"/>
              <w:left w:val="single" w:sz="4" w:space="0" w:color="000000"/>
              <w:bottom w:val="single" w:sz="4" w:space="0" w:color="000000"/>
              <w:right w:val="single" w:sz="4" w:space="0" w:color="000000"/>
            </w:tcBorders>
            <w:vAlign w:val="center"/>
          </w:tcPr>
          <w:p w14:paraId="2B17D647" w14:textId="77777777" w:rsidR="001F028F" w:rsidRPr="0069687D" w:rsidRDefault="001F028F" w:rsidP="00CF6C19">
            <w:pPr>
              <w:pStyle w:val="Point1"/>
              <w:spacing w:before="40" w:after="40"/>
              <w:ind w:left="0" w:firstLine="0"/>
              <w:contextualSpacing/>
              <w:jc w:val="center"/>
              <w:rPr>
                <w:b/>
                <w:bCs/>
                <w:szCs w:val="24"/>
                <w:lang w:val="lt-LT"/>
              </w:rPr>
            </w:pPr>
            <w:r w:rsidRPr="0069687D">
              <w:rPr>
                <w:b/>
                <w:bCs/>
                <w:szCs w:val="24"/>
                <w:lang w:val="lt-LT"/>
              </w:rPr>
              <w:t>Eil. Nr.</w:t>
            </w:r>
          </w:p>
        </w:tc>
        <w:tc>
          <w:tcPr>
            <w:tcW w:w="4253" w:type="dxa"/>
            <w:tcBorders>
              <w:top w:val="single" w:sz="4" w:space="0" w:color="000000"/>
              <w:left w:val="single" w:sz="4" w:space="0" w:color="000000"/>
              <w:bottom w:val="single" w:sz="4" w:space="0" w:color="000000"/>
              <w:right w:val="single" w:sz="4" w:space="0" w:color="000000"/>
            </w:tcBorders>
            <w:vAlign w:val="center"/>
          </w:tcPr>
          <w:p w14:paraId="4C841964" w14:textId="77777777" w:rsidR="001F028F" w:rsidRPr="0069687D" w:rsidRDefault="001F028F" w:rsidP="00CF6C19">
            <w:pPr>
              <w:tabs>
                <w:tab w:val="left" w:pos="459"/>
                <w:tab w:val="left" w:pos="3861"/>
              </w:tabs>
              <w:spacing w:before="40" w:after="40"/>
              <w:ind w:left="33"/>
              <w:contextualSpacing/>
              <w:jc w:val="center"/>
              <w:rPr>
                <w:b/>
                <w:bCs/>
                <w:lang w:val="lt-LT"/>
              </w:rPr>
            </w:pPr>
            <w:r w:rsidRPr="0069687D">
              <w:rPr>
                <w:b/>
                <w:bCs/>
                <w:lang w:val="lt-LT"/>
              </w:rPr>
              <w:t>Klausimas*</w:t>
            </w:r>
          </w:p>
        </w:tc>
        <w:tc>
          <w:tcPr>
            <w:tcW w:w="5244" w:type="dxa"/>
            <w:tcBorders>
              <w:top w:val="single" w:sz="4" w:space="0" w:color="000000"/>
              <w:left w:val="single" w:sz="4" w:space="0" w:color="000000"/>
              <w:bottom w:val="single" w:sz="4" w:space="0" w:color="000000"/>
              <w:right w:val="single" w:sz="4" w:space="0" w:color="000000"/>
            </w:tcBorders>
            <w:vAlign w:val="center"/>
          </w:tcPr>
          <w:p w14:paraId="02CEE2A1" w14:textId="77777777" w:rsidR="001F028F" w:rsidRPr="0069687D" w:rsidRDefault="001F028F" w:rsidP="00CF6C19">
            <w:pPr>
              <w:tabs>
                <w:tab w:val="left" w:pos="459"/>
                <w:tab w:val="left" w:pos="3753"/>
              </w:tabs>
              <w:spacing w:before="40" w:after="40"/>
              <w:ind w:left="33"/>
              <w:contextualSpacing/>
              <w:jc w:val="center"/>
              <w:rPr>
                <w:b/>
                <w:bCs/>
                <w:lang w:val="lt-LT"/>
              </w:rPr>
            </w:pPr>
            <w:r w:rsidRPr="0069687D">
              <w:rPr>
                <w:b/>
                <w:bCs/>
                <w:lang w:val="lt-LT"/>
              </w:rPr>
              <w:t>Atsakymas</w:t>
            </w:r>
          </w:p>
        </w:tc>
      </w:tr>
      <w:tr w:rsidR="009B08CD" w:rsidRPr="00E377A1" w14:paraId="42BD015D" w14:textId="77777777" w:rsidTr="009B08CD">
        <w:trPr>
          <w:cantSplit/>
        </w:trPr>
        <w:tc>
          <w:tcPr>
            <w:tcW w:w="704" w:type="dxa"/>
            <w:tcBorders>
              <w:top w:val="single" w:sz="4" w:space="0" w:color="000000"/>
              <w:left w:val="single" w:sz="4" w:space="0" w:color="000000"/>
              <w:bottom w:val="single" w:sz="4" w:space="0" w:color="000000"/>
              <w:right w:val="single" w:sz="4" w:space="0" w:color="000000"/>
            </w:tcBorders>
          </w:tcPr>
          <w:p w14:paraId="7EA3C919" w14:textId="77777777" w:rsidR="009B08CD" w:rsidRPr="0069687D" w:rsidRDefault="009B08CD" w:rsidP="009B08CD">
            <w:pPr>
              <w:pStyle w:val="Point1"/>
              <w:spacing w:before="40" w:after="40"/>
              <w:ind w:left="0" w:firstLine="0"/>
              <w:contextualSpacing/>
              <w:rPr>
                <w:szCs w:val="24"/>
                <w:lang w:val="lt-LT"/>
              </w:rPr>
            </w:pPr>
            <w:r w:rsidRPr="0069687D">
              <w:rPr>
                <w:szCs w:val="24"/>
                <w:lang w:val="lt-LT"/>
              </w:rPr>
              <w:t>1.</w:t>
            </w:r>
          </w:p>
        </w:tc>
        <w:tc>
          <w:tcPr>
            <w:tcW w:w="4253" w:type="dxa"/>
            <w:tcBorders>
              <w:top w:val="single" w:sz="4" w:space="0" w:color="000000"/>
              <w:left w:val="single" w:sz="4" w:space="0" w:color="000000"/>
              <w:bottom w:val="single" w:sz="4" w:space="0" w:color="000000"/>
              <w:right w:val="single" w:sz="4" w:space="0" w:color="000000"/>
            </w:tcBorders>
          </w:tcPr>
          <w:p w14:paraId="6C66CB53" w14:textId="0BE20BC9" w:rsidR="009B08CD" w:rsidRPr="00574354" w:rsidRDefault="00C65C3A" w:rsidP="00574354">
            <w:pPr>
              <w:jc w:val="both"/>
              <w:rPr>
                <w:color w:val="00241A"/>
                <w:shd w:val="clear" w:color="auto" w:fill="FFFFFF"/>
                <w:lang w:val="lt-LT"/>
              </w:rPr>
            </w:pPr>
            <w:r w:rsidRPr="008C65C0">
              <w:rPr>
                <w:color w:val="00241A"/>
                <w:shd w:val="clear" w:color="auto" w:fill="FFFFFF"/>
                <w:lang w:val="lt-LT"/>
              </w:rPr>
              <w:t>Pirkimo sąlygų 8 priedo „Pasiūlymų vertinimo kriterijai ir sąlygos“ nurodytas Antras kriterijus – papildomas garantinis terminas darbams (V). Tiekėjai savo pasiūlymuose turi nurodyti papildomą garantinio termino darbams trukmę metais (V). Ši – papildoma garantija – yra papildomai pridedama prie būtinos garantijos, kurią rangovas turi suteikti remiantis CK 6.698 str. 1 d. 1 p. Tiekėjas, nurodydamas papildomą garantiją, ją pratęsia tik dėl atliktų darbų pagal CK 6.698 str. 1 d. 1 p. Dėl CK 6.698 str. 1 d. 2 ir 3 p. paslėptų trūkumų ši garantija nėra pratęsiama. Tai papildomas garantinis terminas, viršijantis privalomą norminiais aktais tiekėjui įpareigojantį garantinį terminą, kuris yra 5 metai.</w:t>
            </w:r>
            <w:r w:rsidRPr="008C65C0">
              <w:rPr>
                <w:color w:val="00241A"/>
                <w:lang w:val="lt-LT"/>
              </w:rPr>
              <w:br/>
            </w:r>
            <w:r w:rsidRPr="008C65C0">
              <w:rPr>
                <w:color w:val="00241A"/>
                <w:lang w:val="lt-LT"/>
              </w:rPr>
              <w:br/>
            </w:r>
            <w:r w:rsidRPr="008C65C0">
              <w:rPr>
                <w:color w:val="00241A"/>
                <w:shd w:val="clear" w:color="auto" w:fill="FFFFFF"/>
                <w:lang w:val="lt-LT"/>
              </w:rPr>
              <w:t>Prašome patikslinti, ar Tiekėjo pasiūlyme nurodomam papildomam garantiniam terminui (viršijančiam CK 6.698 str. 1 d. 1 p. nustatytą 5 metų garantinį laikotarpį) yra taikomas prievolių įvykdymo užtikrinimo reikalavimas.</w:t>
            </w:r>
            <w:r w:rsidRPr="008C65C0">
              <w:rPr>
                <w:color w:val="00241A"/>
                <w:lang w:val="lt-LT"/>
              </w:rPr>
              <w:br/>
            </w:r>
            <w:r w:rsidRPr="008C65C0">
              <w:rPr>
                <w:color w:val="00241A"/>
                <w:shd w:val="clear" w:color="auto" w:fill="FFFFFF"/>
                <w:lang w:val="lt-LT"/>
              </w:rPr>
              <w:t>Jeigu taip, prašome nurodyti:</w:t>
            </w:r>
            <w:r w:rsidRPr="008C65C0">
              <w:rPr>
                <w:color w:val="00241A"/>
                <w:lang w:val="lt-LT"/>
              </w:rPr>
              <w:br/>
            </w:r>
            <w:r w:rsidRPr="008C65C0">
              <w:rPr>
                <w:color w:val="00241A"/>
                <w:shd w:val="clear" w:color="auto" w:fill="FFFFFF"/>
                <w:lang w:val="lt-LT"/>
              </w:rPr>
              <w:t>1. kokia forma šis papildomas garantinis terminas turi būti užtikrinamas (draudimo bendrovės laidavimas, kredito įstaigos garantija ar kita forma);</w:t>
            </w:r>
            <w:r w:rsidRPr="008C65C0">
              <w:rPr>
                <w:color w:val="00241A"/>
                <w:lang w:val="lt-LT"/>
              </w:rPr>
              <w:br/>
            </w:r>
            <w:r w:rsidRPr="008C65C0">
              <w:rPr>
                <w:color w:val="00241A"/>
                <w:shd w:val="clear" w:color="auto" w:fill="FFFFFF"/>
                <w:lang w:val="lt-LT"/>
              </w:rPr>
              <w:t>2. kokiam laikotarpiui turi būti pateikiamas užtikrinimas (ar visam papildomos garantijos laikotarpiui);</w:t>
            </w:r>
            <w:r w:rsidRPr="008C65C0">
              <w:rPr>
                <w:color w:val="00241A"/>
                <w:lang w:val="lt-LT"/>
              </w:rPr>
              <w:br/>
            </w:r>
            <w:r w:rsidRPr="008C65C0">
              <w:rPr>
                <w:color w:val="00241A"/>
                <w:shd w:val="clear" w:color="auto" w:fill="FFFFFF"/>
                <w:lang w:val="lt-LT"/>
              </w:rPr>
              <w:t>3. ar leidžiama papildomą garantiją užtikrinti tik Tiekėjo deklaracija / sutartiniu įsipareigojimu, neteikiant finansinio užtikrinimo.</w:t>
            </w:r>
          </w:p>
        </w:tc>
        <w:tc>
          <w:tcPr>
            <w:tcW w:w="5244" w:type="dxa"/>
            <w:tcBorders>
              <w:top w:val="single" w:sz="4" w:space="0" w:color="000000"/>
              <w:left w:val="single" w:sz="4" w:space="0" w:color="000000"/>
              <w:bottom w:val="single" w:sz="4" w:space="0" w:color="000000"/>
              <w:right w:val="single" w:sz="4" w:space="0" w:color="000000"/>
            </w:tcBorders>
          </w:tcPr>
          <w:p w14:paraId="477A1D3E" w14:textId="29290665" w:rsidR="009B08CD" w:rsidRPr="001F3F1E" w:rsidRDefault="001F3F1E" w:rsidP="001F3F1E">
            <w:pPr>
              <w:jc w:val="both"/>
              <w:rPr>
                <w:lang w:val="lt-LT"/>
              </w:rPr>
            </w:pPr>
            <w:r w:rsidRPr="001F3F1E">
              <w:rPr>
                <w:lang w:val="lt-LT"/>
              </w:rPr>
              <w:t>Atkreipiame dėmesį, kad už tų pačių įsipareigojimų nevykdymą negali būti skiriamos kel</w:t>
            </w:r>
            <w:r>
              <w:rPr>
                <w:lang w:val="lt-LT"/>
              </w:rPr>
              <w:t>ios baudinio pobūdžio priemonės,</w:t>
            </w:r>
            <w:r w:rsidRPr="001F3F1E">
              <w:rPr>
                <w:lang w:val="lt-LT"/>
              </w:rPr>
              <w:t xml:space="preserve"> pvz. ir </w:t>
            </w:r>
            <w:r>
              <w:rPr>
                <w:lang w:val="lt-LT"/>
              </w:rPr>
              <w:t>bauda</w:t>
            </w:r>
            <w:r w:rsidRPr="001F3F1E">
              <w:rPr>
                <w:lang w:val="lt-LT"/>
              </w:rPr>
              <w:t>, ir sutarties įvykdymo užtikrinimas, todėl prašome atidžiai skaityti specialiųjų pirkimo sąlygų 13 priedą, kuriame nurodyta:</w:t>
            </w:r>
          </w:p>
          <w:p w14:paraId="39EFE88B" w14:textId="7926135A" w:rsidR="001F3F1E" w:rsidRPr="00574354" w:rsidRDefault="001F3F1E" w:rsidP="001F3F1E">
            <w:pPr>
              <w:pStyle w:val="Sraopastraipa"/>
              <w:numPr>
                <w:ilvl w:val="0"/>
                <w:numId w:val="3"/>
              </w:numPr>
              <w:ind w:left="36" w:firstLine="324"/>
              <w:jc w:val="both"/>
              <w:rPr>
                <w:rFonts w:ascii="Times New Roman" w:hAnsi="Times New Roman" w:cs="Times New Roman"/>
                <w:sz w:val="24"/>
                <w:szCs w:val="24"/>
                <w:lang w:val="lt-LT"/>
              </w:rPr>
            </w:pPr>
            <w:r w:rsidRPr="001F3F1E">
              <w:rPr>
                <w:rFonts w:ascii="Times New Roman" w:hAnsi="Times New Roman" w:cs="Times New Roman"/>
                <w:sz w:val="24"/>
                <w:szCs w:val="24"/>
                <w:lang w:val="lt-LT"/>
              </w:rPr>
              <w:t xml:space="preserve">11 skyriuje yra aprašytos atsakomybės už defektus bei garantiją. Šiame skyriuje – 11.3. p. – yra </w:t>
            </w:r>
            <w:r w:rsidR="00574354">
              <w:rPr>
                <w:rFonts w:ascii="Times New Roman" w:hAnsi="Times New Roman" w:cs="Times New Roman"/>
                <w:sz w:val="24"/>
                <w:szCs w:val="24"/>
                <w:lang w:val="lt-LT"/>
              </w:rPr>
              <w:t>dėstoma</w:t>
            </w:r>
            <w:r w:rsidRPr="001F3F1E">
              <w:rPr>
                <w:rFonts w:ascii="Times New Roman" w:hAnsi="Times New Roman" w:cs="Times New Roman"/>
                <w:sz w:val="24"/>
                <w:szCs w:val="24"/>
                <w:lang w:val="lt-LT"/>
              </w:rPr>
              <w:t xml:space="preserve"> kokia tvarka turi būti pateiktas garantinio laikotarpio, kylančio iš bazinių (visiems tiekėjams privalomų)</w:t>
            </w:r>
            <w:r>
              <w:rPr>
                <w:rFonts w:ascii="Times New Roman" w:hAnsi="Times New Roman" w:cs="Times New Roman"/>
                <w:sz w:val="24"/>
                <w:szCs w:val="24"/>
                <w:lang w:val="lt-LT"/>
              </w:rPr>
              <w:t xml:space="preserve"> garantinių</w:t>
            </w:r>
            <w:r w:rsidRPr="001F3F1E">
              <w:rPr>
                <w:rFonts w:ascii="Times New Roman" w:hAnsi="Times New Roman" w:cs="Times New Roman"/>
                <w:sz w:val="24"/>
                <w:szCs w:val="24"/>
                <w:lang w:val="lt-LT"/>
              </w:rPr>
              <w:t xml:space="preserve"> įsipare</w:t>
            </w:r>
            <w:r>
              <w:rPr>
                <w:rFonts w:ascii="Times New Roman" w:hAnsi="Times New Roman" w:cs="Times New Roman"/>
                <w:sz w:val="24"/>
                <w:szCs w:val="24"/>
                <w:lang w:val="lt-LT"/>
              </w:rPr>
              <w:t>i</w:t>
            </w:r>
            <w:r w:rsidRPr="001F3F1E">
              <w:rPr>
                <w:rFonts w:ascii="Times New Roman" w:hAnsi="Times New Roman" w:cs="Times New Roman"/>
                <w:sz w:val="24"/>
                <w:szCs w:val="24"/>
                <w:lang w:val="lt-LT"/>
              </w:rPr>
              <w:t>gojimų</w:t>
            </w:r>
            <w:r w:rsidR="00574354">
              <w:rPr>
                <w:rFonts w:ascii="Times New Roman" w:hAnsi="Times New Roman" w:cs="Times New Roman"/>
                <w:sz w:val="24"/>
                <w:szCs w:val="24"/>
                <w:lang w:val="lt-LT"/>
              </w:rPr>
              <w:t>,</w:t>
            </w:r>
            <w:r>
              <w:rPr>
                <w:rFonts w:ascii="Times New Roman" w:hAnsi="Times New Roman" w:cs="Times New Roman"/>
                <w:sz w:val="24"/>
                <w:szCs w:val="24"/>
                <w:lang w:val="lt-LT"/>
              </w:rPr>
              <w:t xml:space="preserve"> užtikrinimas (l</w:t>
            </w:r>
            <w:r w:rsidRPr="001F3F1E">
              <w:rPr>
                <w:rFonts w:ascii="Times New Roman" w:hAnsi="Times New Roman" w:cs="Times New Roman"/>
                <w:sz w:val="24"/>
                <w:szCs w:val="24"/>
                <w:lang w:val="lt-LT"/>
              </w:rPr>
              <w:t xml:space="preserve">aidavimas (kartu su laidavimo draudimo apmokėjimą įrodančia dokumento kopija) išduotas draudimo bendrovės, arba </w:t>
            </w:r>
            <w:r>
              <w:rPr>
                <w:rFonts w:ascii="Times New Roman" w:hAnsi="Times New Roman" w:cs="Times New Roman"/>
                <w:sz w:val="24"/>
                <w:szCs w:val="24"/>
                <w:lang w:val="lt-LT"/>
              </w:rPr>
              <w:t>g</w:t>
            </w:r>
            <w:r w:rsidRPr="001F3F1E">
              <w:rPr>
                <w:rFonts w:ascii="Times New Roman" w:hAnsi="Times New Roman" w:cs="Times New Roman"/>
                <w:sz w:val="24"/>
                <w:szCs w:val="24"/>
                <w:lang w:val="lt-LT"/>
              </w:rPr>
              <w:t xml:space="preserve">arantija, išduota kredito įstaigos, </w:t>
            </w:r>
            <w:r w:rsidRPr="00574354">
              <w:rPr>
                <w:rFonts w:ascii="Times New Roman" w:hAnsi="Times New Roman" w:cs="Times New Roman"/>
                <w:sz w:val="24"/>
                <w:szCs w:val="24"/>
                <w:lang w:val="lt-LT"/>
              </w:rPr>
              <w:t>arba mokėjimo atidėjimą patvirtinantis dokumentas);</w:t>
            </w:r>
          </w:p>
          <w:p w14:paraId="726A27FA" w14:textId="77777777" w:rsidR="001F3F1E" w:rsidRPr="00574354" w:rsidRDefault="001F3F1E" w:rsidP="00574354">
            <w:pPr>
              <w:pStyle w:val="Sraopastraipa"/>
              <w:numPr>
                <w:ilvl w:val="0"/>
                <w:numId w:val="3"/>
              </w:numPr>
              <w:ind w:left="36" w:firstLine="324"/>
              <w:jc w:val="both"/>
              <w:rPr>
                <w:lang w:val="lt-LT"/>
              </w:rPr>
            </w:pPr>
            <w:r w:rsidRPr="00574354">
              <w:rPr>
                <w:rFonts w:ascii="Times New Roman" w:hAnsi="Times New Roman" w:cs="Times New Roman"/>
                <w:sz w:val="24"/>
                <w:szCs w:val="24"/>
                <w:lang w:val="lt-LT"/>
              </w:rPr>
              <w:t>5.27. p. yra aprašyta, jog</w:t>
            </w:r>
            <w:r w:rsidR="00574354" w:rsidRPr="00574354">
              <w:rPr>
                <w:rFonts w:ascii="Times New Roman" w:hAnsi="Times New Roman" w:cs="Times New Roman"/>
                <w:sz w:val="24"/>
                <w:szCs w:val="24"/>
                <w:lang w:val="lt-LT"/>
              </w:rPr>
              <w:t xml:space="preserve"> už papildomą garantinį terminą, tai yra, už jo neįvykdymą, </w:t>
            </w:r>
            <w:r w:rsidRPr="00574354">
              <w:rPr>
                <w:rFonts w:ascii="Times New Roman" w:hAnsi="Times New Roman" w:cs="Times New Roman"/>
                <w:sz w:val="24"/>
                <w:szCs w:val="24"/>
                <w:lang w:val="lt-LT"/>
              </w:rPr>
              <w:t>bus taiko</w:t>
            </w:r>
            <w:r w:rsidR="00574354">
              <w:rPr>
                <w:rFonts w:ascii="Times New Roman" w:hAnsi="Times New Roman" w:cs="Times New Roman"/>
                <w:sz w:val="24"/>
                <w:szCs w:val="24"/>
                <w:lang w:val="lt-LT"/>
              </w:rPr>
              <w:t>mos netesybos – bauda.</w:t>
            </w:r>
          </w:p>
          <w:p w14:paraId="7D3C1CB6" w14:textId="77777777" w:rsidR="00574354" w:rsidRDefault="00574354" w:rsidP="00574354">
            <w:pPr>
              <w:pStyle w:val="Sraopastraipa"/>
              <w:ind w:left="360"/>
              <w:jc w:val="both"/>
              <w:rPr>
                <w:rFonts w:ascii="Times New Roman" w:hAnsi="Times New Roman" w:cs="Times New Roman"/>
                <w:sz w:val="24"/>
                <w:szCs w:val="24"/>
                <w:lang w:val="lt-LT"/>
              </w:rPr>
            </w:pPr>
            <w:r>
              <w:rPr>
                <w:rFonts w:ascii="Times New Roman" w:hAnsi="Times New Roman" w:cs="Times New Roman"/>
                <w:sz w:val="24"/>
                <w:szCs w:val="24"/>
                <w:lang w:val="lt-LT"/>
              </w:rPr>
              <w:t>Taigi:</w:t>
            </w:r>
          </w:p>
          <w:p w14:paraId="38149925" w14:textId="77777777" w:rsidR="00574354" w:rsidRPr="00574354" w:rsidRDefault="00574354" w:rsidP="00574354">
            <w:pPr>
              <w:pStyle w:val="Sraopastraipa"/>
              <w:numPr>
                <w:ilvl w:val="0"/>
                <w:numId w:val="3"/>
              </w:numPr>
              <w:jc w:val="both"/>
              <w:rPr>
                <w:lang w:val="lt-LT"/>
              </w:rPr>
            </w:pPr>
            <w:r>
              <w:rPr>
                <w:rFonts w:ascii="Times New Roman" w:hAnsi="Times New Roman" w:cs="Times New Roman"/>
                <w:sz w:val="24"/>
                <w:szCs w:val="24"/>
                <w:lang w:val="lt-LT"/>
              </w:rPr>
              <w:t xml:space="preserve">atsakant į tiekėjo 1. klausimą – jokia papildoma forma </w:t>
            </w:r>
            <w:r w:rsidRPr="00574354">
              <w:rPr>
                <w:rFonts w:ascii="Times New Roman" w:hAnsi="Times New Roman" w:cs="Times New Roman"/>
                <w:b/>
                <w:sz w:val="24"/>
                <w:szCs w:val="24"/>
                <w:lang w:val="lt-LT"/>
              </w:rPr>
              <w:t>papildomo</w:t>
            </w:r>
            <w:r>
              <w:rPr>
                <w:rFonts w:ascii="Times New Roman" w:hAnsi="Times New Roman" w:cs="Times New Roman"/>
                <w:sz w:val="24"/>
                <w:szCs w:val="24"/>
                <w:lang w:val="lt-LT"/>
              </w:rPr>
              <w:t xml:space="preserve"> garantinio terminio užtikrinti nėra reikalinga. Pasirašant sutartį, joje bus nurodytas papildomas garantinis terminas (jeigu taikoma), kurio turėsite laikytis remiantis iš sutartinių šalių įsipareigojimų kylančiais pagrindais;</w:t>
            </w:r>
          </w:p>
          <w:p w14:paraId="14887B85" w14:textId="77777777" w:rsidR="00574354" w:rsidRPr="00574354" w:rsidRDefault="00574354" w:rsidP="00574354">
            <w:pPr>
              <w:pStyle w:val="Sraopastraipa"/>
              <w:numPr>
                <w:ilvl w:val="0"/>
                <w:numId w:val="3"/>
              </w:numPr>
              <w:jc w:val="both"/>
              <w:rPr>
                <w:lang w:val="lt-LT"/>
              </w:rPr>
            </w:pPr>
            <w:r>
              <w:rPr>
                <w:rFonts w:ascii="Times New Roman" w:hAnsi="Times New Roman" w:cs="Times New Roman"/>
                <w:sz w:val="24"/>
                <w:szCs w:val="24"/>
                <w:lang w:val="lt-LT"/>
              </w:rPr>
              <w:t>atsakant į tiekėjo 2. klausimą – papildoma garantija turės būti suteikta tam terminui, kurį tiekėjas siūlys (jeigu siūlys) kaip ekonominio naudingumo kriterijų. Specialaus dokumento pateikti nereikės;</w:t>
            </w:r>
          </w:p>
          <w:p w14:paraId="5F75BC13" w14:textId="097C9654" w:rsidR="00574354" w:rsidRPr="001F3F1E" w:rsidRDefault="00574354" w:rsidP="00574354">
            <w:pPr>
              <w:pStyle w:val="Sraopastraipa"/>
              <w:numPr>
                <w:ilvl w:val="0"/>
                <w:numId w:val="3"/>
              </w:numPr>
              <w:jc w:val="both"/>
              <w:rPr>
                <w:lang w:val="lt-LT"/>
              </w:rPr>
            </w:pPr>
            <w:r>
              <w:rPr>
                <w:rFonts w:ascii="Times New Roman" w:hAnsi="Times New Roman" w:cs="Times New Roman"/>
                <w:sz w:val="24"/>
                <w:szCs w:val="24"/>
                <w:lang w:val="lt-LT"/>
              </w:rPr>
              <w:t>atsakant į tiekėjo 3. Klausimas – leidžiama, žr. atsakymo punktus aukščiau.</w:t>
            </w:r>
          </w:p>
        </w:tc>
      </w:tr>
      <w:tr w:rsidR="00B250C7" w:rsidRPr="00E377A1" w14:paraId="30790F57" w14:textId="77777777" w:rsidTr="009B08CD">
        <w:trPr>
          <w:cantSplit/>
        </w:trPr>
        <w:tc>
          <w:tcPr>
            <w:tcW w:w="704" w:type="dxa"/>
            <w:tcBorders>
              <w:top w:val="single" w:sz="4" w:space="0" w:color="000000"/>
              <w:left w:val="single" w:sz="4" w:space="0" w:color="000000"/>
              <w:bottom w:val="single" w:sz="4" w:space="0" w:color="000000"/>
              <w:right w:val="single" w:sz="4" w:space="0" w:color="000000"/>
            </w:tcBorders>
          </w:tcPr>
          <w:p w14:paraId="489A4324" w14:textId="7576FF19" w:rsidR="00B250C7" w:rsidRPr="003E5314" w:rsidRDefault="00B250C7" w:rsidP="009B08CD">
            <w:pPr>
              <w:pStyle w:val="Point1"/>
              <w:spacing w:before="40" w:after="40"/>
              <w:ind w:left="0" w:firstLine="0"/>
              <w:contextualSpacing/>
              <w:rPr>
                <w:szCs w:val="24"/>
                <w:lang w:val="lt-LT"/>
              </w:rPr>
            </w:pPr>
            <w:r w:rsidRPr="003E5314">
              <w:rPr>
                <w:szCs w:val="24"/>
                <w:lang w:val="lt-LT"/>
              </w:rPr>
              <w:t>2.</w:t>
            </w:r>
          </w:p>
        </w:tc>
        <w:tc>
          <w:tcPr>
            <w:tcW w:w="4253" w:type="dxa"/>
            <w:tcBorders>
              <w:top w:val="single" w:sz="4" w:space="0" w:color="000000"/>
              <w:left w:val="single" w:sz="4" w:space="0" w:color="000000"/>
              <w:bottom w:val="single" w:sz="4" w:space="0" w:color="000000"/>
              <w:right w:val="single" w:sz="4" w:space="0" w:color="000000"/>
            </w:tcBorders>
          </w:tcPr>
          <w:p w14:paraId="610E98B0" w14:textId="0C2584FF" w:rsidR="00B250C7" w:rsidRPr="003E5314" w:rsidRDefault="003E5314" w:rsidP="003E5314">
            <w:pPr>
              <w:jc w:val="both"/>
              <w:rPr>
                <w:shd w:val="clear" w:color="auto" w:fill="FFFFFF"/>
                <w:lang w:val="lt-LT"/>
              </w:rPr>
            </w:pPr>
            <w:r w:rsidRPr="003E5314">
              <w:rPr>
                <w:shd w:val="clear" w:color="auto" w:fill="FFFFFF"/>
                <w:lang w:val="lt-LT"/>
              </w:rPr>
              <w:t xml:space="preserve">Pirkimo sąlygų 4 priedo 1 lentelės 1.1. punkte nustatytas reikalavimas dėl </w:t>
            </w:r>
            <w:r w:rsidRPr="003E5314">
              <w:rPr>
                <w:shd w:val="clear" w:color="auto" w:fill="FFFFFF"/>
                <w:lang w:val="lt-LT"/>
              </w:rPr>
              <w:lastRenderedPageBreak/>
              <w:t>vidutinių metinių pajamų. Šiame reikalavime nurodyta, kad vidutinės metinės pajamos tikrinamos dėl paskutinių dviejų finansinių metų. Prašome nurodyti ar teisingai suprantame, kad šiame pirkime yra tikrinami 2023 ir 2024 metų finansiniai duomenys.</w:t>
            </w:r>
          </w:p>
        </w:tc>
        <w:tc>
          <w:tcPr>
            <w:tcW w:w="5244" w:type="dxa"/>
            <w:tcBorders>
              <w:top w:val="single" w:sz="4" w:space="0" w:color="000000"/>
              <w:left w:val="single" w:sz="4" w:space="0" w:color="000000"/>
              <w:bottom w:val="single" w:sz="4" w:space="0" w:color="000000"/>
              <w:right w:val="single" w:sz="4" w:space="0" w:color="000000"/>
            </w:tcBorders>
          </w:tcPr>
          <w:p w14:paraId="19F78883" w14:textId="03C61C00" w:rsidR="00B250C7" w:rsidRPr="00574354" w:rsidRDefault="003E5314" w:rsidP="003E5314">
            <w:pPr>
              <w:jc w:val="both"/>
              <w:rPr>
                <w:lang w:val="lt-LT"/>
              </w:rPr>
            </w:pPr>
            <w:r w:rsidRPr="00574354">
              <w:rPr>
                <w:lang w:val="lt-LT"/>
              </w:rPr>
              <w:lastRenderedPageBreak/>
              <w:t xml:space="preserve">Jeigu  ūkio subjekto finansiniai metai sutampa su kalendoriniais metais, tokiu atveju 2023-2024 m. </w:t>
            </w:r>
            <w:r w:rsidRPr="00574354">
              <w:rPr>
                <w:lang w:val="lt-LT"/>
              </w:rPr>
              <w:lastRenderedPageBreak/>
              <w:t>finansiniai duomenys būtų laikomi tinkamais siekiant pagrįsti kvalifikacinį reikalavimą, atsižvelgiant</w:t>
            </w:r>
            <w:r w:rsidR="00C65C3A" w:rsidRPr="00574354">
              <w:rPr>
                <w:lang w:val="lt-LT"/>
              </w:rPr>
              <w:t xml:space="preserve"> į</w:t>
            </w:r>
            <w:r w:rsidRPr="00574354">
              <w:rPr>
                <w:lang w:val="lt-LT"/>
              </w:rPr>
              <w:t xml:space="preserve"> tai, jog  remiantis Lietuvos Respublikos finansinės atskaitomybės įstatymu, metinės finansinės ataskaitos UAB paprastai turi būti parengtos ir pateiktos ne vėliau kaip per 6 mėnesius pasibaigus finansiniams metams, t. y. iki 2026 m. birželio 30 d.</w:t>
            </w:r>
            <w:r w:rsidR="00C65C3A" w:rsidRPr="00574354">
              <w:rPr>
                <w:lang w:val="lt-LT"/>
              </w:rPr>
              <w:t>, o viešasis pirkimas paskelbtas dar nesuėjus šiam terminui.</w:t>
            </w:r>
          </w:p>
          <w:p w14:paraId="580A1372" w14:textId="77777777" w:rsidR="003E5314" w:rsidRPr="00574354" w:rsidRDefault="003E5314" w:rsidP="003E5314">
            <w:pPr>
              <w:jc w:val="both"/>
              <w:rPr>
                <w:iCs/>
                <w:color w:val="000000"/>
                <w:lang w:val="lt-LT"/>
              </w:rPr>
            </w:pPr>
            <w:r w:rsidRPr="00574354">
              <w:rPr>
                <w:iCs/>
                <w:color w:val="000000"/>
                <w:lang w:val="lt-LT"/>
              </w:rPr>
              <w:t>Jei ūkio subjekto finansiniai metai nesutampa su kalendoriniais metais, atsižvelgiama į ūkio subjekto nurodomus finansinius metus.</w:t>
            </w:r>
          </w:p>
          <w:p w14:paraId="08048543" w14:textId="2E1F1801" w:rsidR="003E5314" w:rsidRPr="00574354" w:rsidRDefault="00C65C3A" w:rsidP="00C65C3A">
            <w:pPr>
              <w:jc w:val="both"/>
              <w:rPr>
                <w:lang w:val="lt-LT"/>
              </w:rPr>
            </w:pPr>
            <w:r w:rsidRPr="00574354">
              <w:rPr>
                <w:iCs/>
                <w:color w:val="000000"/>
                <w:lang w:val="lt-LT"/>
              </w:rPr>
              <w:t>Pastebime, jog atsižvelgiant į ūkio subjekto veiklos formą, gali susidaryti tokie atvejai, jog bus tikrinami ir 2024-2025 m. finansinių metų laikotarpio duomenys.</w:t>
            </w:r>
          </w:p>
        </w:tc>
      </w:tr>
    </w:tbl>
    <w:p w14:paraId="67EA2C2B" w14:textId="77777777" w:rsidR="001F028F" w:rsidRPr="0079527F" w:rsidRDefault="001F028F" w:rsidP="001F028F">
      <w:pPr>
        <w:rPr>
          <w:lang w:val="lt-LT"/>
        </w:rPr>
      </w:pPr>
      <w:r w:rsidRPr="0079527F">
        <w:rPr>
          <w:lang w:val="lt-LT"/>
        </w:rPr>
        <w:lastRenderedPageBreak/>
        <w:t>* - Tiekėjo tekstas nekoreguotas.</w:t>
      </w:r>
    </w:p>
    <w:p w14:paraId="1DAD503B" w14:textId="77777777" w:rsidR="001F028F" w:rsidRDefault="001F028F" w:rsidP="001F028F">
      <w:pPr>
        <w:rPr>
          <w:lang w:val="lt-LT"/>
        </w:rPr>
      </w:pPr>
    </w:p>
    <w:p w14:paraId="1CEB9C69" w14:textId="7E2EA31F" w:rsidR="001F028F" w:rsidRDefault="001A48B4" w:rsidP="007316AC">
      <w:pPr>
        <w:jc w:val="both"/>
        <w:rPr>
          <w:lang w:val="lt-LT"/>
        </w:rPr>
      </w:pPr>
      <w:r>
        <w:rPr>
          <w:lang w:val="lt-LT"/>
        </w:rPr>
        <w:t>2) Informuojame, kad a</w:t>
      </w:r>
      <w:r w:rsidRPr="001824BC">
        <w:rPr>
          <w:lang w:val="lt-LT"/>
        </w:rPr>
        <w:t xml:space="preserve">tsižvelgiant į supaprastinto viešojo pirkimo “Kompleksinis erdvių sutvarkymas ir pėsčiųjų -dviračių tako palei </w:t>
      </w:r>
      <w:proofErr w:type="spellStart"/>
      <w:r w:rsidRPr="001824BC">
        <w:rPr>
          <w:lang w:val="lt-LT"/>
        </w:rPr>
        <w:t>Kūnos</w:t>
      </w:r>
      <w:proofErr w:type="spellEnd"/>
      <w:r w:rsidRPr="001824BC">
        <w:rPr>
          <w:lang w:val="lt-LT"/>
        </w:rPr>
        <w:t xml:space="preserve"> upę Švenčionių mieste statybos darbai“ specialiųjų pirkimo sąlygų 1 priedo „Terminai“ 4 punktą, kuriame nurodoma, kad “Perkančioji organizacija pirkimo sąlygų paaiškinimą, patikslinimą pateikia visiems tiekėjams ne vėliau kaip: 4 (keturios) dienos iki pasiūlymų pateikimo termino pabaigos“</w:t>
      </w:r>
      <w:r w:rsidR="00EF01E8">
        <w:rPr>
          <w:lang w:val="lt-LT"/>
        </w:rPr>
        <w:t>,</w:t>
      </w:r>
      <w:r w:rsidRPr="001824BC">
        <w:rPr>
          <w:lang w:val="lt-LT"/>
        </w:rPr>
        <w:t xml:space="preserve"> </w:t>
      </w:r>
      <w:proofErr w:type="spellStart"/>
      <w:r>
        <w:t>nuspręsta</w:t>
      </w:r>
      <w:proofErr w:type="spellEnd"/>
      <w:r>
        <w:t xml:space="preserve"> </w:t>
      </w:r>
      <w:r w:rsidRPr="001824BC">
        <w:rPr>
          <w:lang w:val="lt-LT"/>
        </w:rPr>
        <w:t>pasiūlymų pateikimo terminą pratęsti iki 2026-04-27 10 val. 00 min.</w:t>
      </w:r>
    </w:p>
    <w:p w14:paraId="14BF0E35" w14:textId="77777777" w:rsidR="007316AC" w:rsidRDefault="007316AC" w:rsidP="001F028F">
      <w:pPr>
        <w:rPr>
          <w:lang w:val="lt-LT"/>
        </w:rPr>
      </w:pPr>
    </w:p>
    <w:p w14:paraId="3288773F" w14:textId="77777777" w:rsidR="001A48B4" w:rsidRDefault="001A48B4" w:rsidP="001F028F">
      <w:pPr>
        <w:rPr>
          <w:lang w:val="lt-LT"/>
        </w:rPr>
      </w:pPr>
    </w:p>
    <w:p w14:paraId="021A47EE" w14:textId="77777777" w:rsidR="00B250C7" w:rsidRDefault="00E377A1" w:rsidP="001F028F">
      <w:pPr>
        <w:rPr>
          <w:lang w:val="lt-LT"/>
        </w:rPr>
      </w:pPr>
      <w:r>
        <w:rPr>
          <w:lang w:val="lt-LT"/>
        </w:rPr>
        <w:t>Pagarbiai,</w:t>
      </w:r>
      <w:r w:rsidR="001F028F">
        <w:rPr>
          <w:lang w:val="lt-LT"/>
        </w:rPr>
        <w:tab/>
      </w:r>
    </w:p>
    <w:p w14:paraId="2842FBF2" w14:textId="331E26EB" w:rsidR="00EF01E8" w:rsidRDefault="00B250C7" w:rsidP="00EF01E8">
      <w:pPr>
        <w:rPr>
          <w:lang w:val="lt-LT"/>
        </w:rPr>
      </w:pPr>
      <w:r>
        <w:rPr>
          <w:lang w:val="lt-LT"/>
        </w:rPr>
        <w:t>Vie</w:t>
      </w:r>
      <w:r w:rsidR="00EF01E8">
        <w:rPr>
          <w:lang w:val="lt-LT"/>
        </w:rPr>
        <w:t>šųjų</w:t>
      </w:r>
      <w:r>
        <w:rPr>
          <w:lang w:val="lt-LT"/>
        </w:rPr>
        <w:t xml:space="preserve"> pirkim</w:t>
      </w:r>
      <w:r w:rsidR="00EF01E8">
        <w:rPr>
          <w:lang w:val="lt-LT"/>
        </w:rPr>
        <w:t>ų komisija</w:t>
      </w:r>
    </w:p>
    <w:p w14:paraId="7F5EA1B6" w14:textId="6EB39695" w:rsidR="008C65C0" w:rsidRPr="00574354" w:rsidRDefault="001F028F" w:rsidP="00574354">
      <w:pPr>
        <w:rPr>
          <w:lang w:val="lt-LT"/>
        </w:rPr>
      </w:pPr>
      <w:r>
        <w:rPr>
          <w:lang w:val="lt-LT"/>
        </w:rPr>
        <w:tab/>
      </w:r>
      <w:r>
        <w:rPr>
          <w:lang w:val="lt-LT"/>
        </w:rPr>
        <w:tab/>
      </w:r>
      <w:r>
        <w:rPr>
          <w:lang w:val="lt-LT"/>
        </w:rPr>
        <w:tab/>
      </w:r>
      <w:bookmarkEnd w:id="0"/>
      <w:r w:rsidR="008C65C0" w:rsidRPr="008C65C0">
        <w:rPr>
          <w:color w:val="00241A"/>
          <w:shd w:val="clear" w:color="auto" w:fill="FFFFFF"/>
          <w:lang w:val="lt-LT"/>
        </w:rPr>
        <w:t xml:space="preserve"> </w:t>
      </w:r>
    </w:p>
    <w:sectPr w:rsidR="008C65C0" w:rsidRPr="00574354" w:rsidSect="00E46222">
      <w:headerReference w:type="default" r:id="rId7"/>
      <w:pgSz w:w="11906" w:h="16838"/>
      <w:pgMar w:top="1276"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E4CDF" w14:textId="77777777" w:rsidR="00A06180" w:rsidRDefault="00A06180">
      <w:r>
        <w:separator/>
      </w:r>
    </w:p>
  </w:endnote>
  <w:endnote w:type="continuationSeparator" w:id="0">
    <w:p w14:paraId="1C9FDCED" w14:textId="77777777" w:rsidR="00A06180" w:rsidRDefault="00A0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81D29" w14:textId="77777777" w:rsidR="00A06180" w:rsidRDefault="00A06180">
      <w:r>
        <w:separator/>
      </w:r>
    </w:p>
  </w:footnote>
  <w:footnote w:type="continuationSeparator" w:id="0">
    <w:p w14:paraId="79A11553" w14:textId="77777777" w:rsidR="00A06180" w:rsidRDefault="00A06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B98B" w14:textId="77777777" w:rsidR="00345BCB" w:rsidRDefault="00345BCB" w:rsidP="00E46222">
    <w:pPr>
      <w:tabs>
        <w:tab w:val="left" w:pos="720"/>
      </w:tabs>
      <w:ind w:firstLine="1296"/>
      <w:jc w:val="center"/>
      <w:rPr>
        <w:rFonts w:ascii="Arial" w:hAnsi="Arial" w:cs="Arial"/>
        <w:sz w:val="16"/>
        <w:szCs w:val="16"/>
        <w:u w:val="single"/>
        <w:lang w:eastAsia="lt-LT"/>
      </w:rPr>
    </w:pPr>
  </w:p>
  <w:p w14:paraId="531AEBF3" w14:textId="77777777" w:rsidR="00345BCB" w:rsidRDefault="00345B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343"/>
    <w:multiLevelType w:val="hybridMultilevel"/>
    <w:tmpl w:val="B066B2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DC2D65"/>
    <w:multiLevelType w:val="hybridMultilevel"/>
    <w:tmpl w:val="6EE262BA"/>
    <w:lvl w:ilvl="0" w:tplc="DD3CD4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04659C"/>
    <w:multiLevelType w:val="hybridMultilevel"/>
    <w:tmpl w:val="14067B1C"/>
    <w:lvl w:ilvl="0" w:tplc="391C34A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56943BD8"/>
    <w:multiLevelType w:val="hybridMultilevel"/>
    <w:tmpl w:val="E24C3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2349598">
    <w:abstractNumId w:val="3"/>
  </w:num>
  <w:num w:numId="2" w16cid:durableId="84811174">
    <w:abstractNumId w:val="0"/>
  </w:num>
  <w:num w:numId="3" w16cid:durableId="1450124191">
    <w:abstractNumId w:val="1"/>
  </w:num>
  <w:num w:numId="4" w16cid:durableId="1371956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815"/>
    <w:rsid w:val="00064815"/>
    <w:rsid w:val="00094D6C"/>
    <w:rsid w:val="000B4183"/>
    <w:rsid w:val="000D17A5"/>
    <w:rsid w:val="00175159"/>
    <w:rsid w:val="00196657"/>
    <w:rsid w:val="001A48B4"/>
    <w:rsid w:val="001A5699"/>
    <w:rsid w:val="001D4442"/>
    <w:rsid w:val="001F028F"/>
    <w:rsid w:val="001F3F1E"/>
    <w:rsid w:val="00206413"/>
    <w:rsid w:val="00207FAA"/>
    <w:rsid w:val="00242C50"/>
    <w:rsid w:val="0028436A"/>
    <w:rsid w:val="002B2A86"/>
    <w:rsid w:val="0034249E"/>
    <w:rsid w:val="003432A4"/>
    <w:rsid w:val="00343922"/>
    <w:rsid w:val="0034442D"/>
    <w:rsid w:val="00345BCB"/>
    <w:rsid w:val="003E5314"/>
    <w:rsid w:val="0042459F"/>
    <w:rsid w:val="004F0BC3"/>
    <w:rsid w:val="005302D9"/>
    <w:rsid w:val="00552995"/>
    <w:rsid w:val="00574354"/>
    <w:rsid w:val="00731023"/>
    <w:rsid w:val="007316AC"/>
    <w:rsid w:val="00780EEF"/>
    <w:rsid w:val="007D63C9"/>
    <w:rsid w:val="00825F51"/>
    <w:rsid w:val="00897C93"/>
    <w:rsid w:val="008A4C39"/>
    <w:rsid w:val="008C65C0"/>
    <w:rsid w:val="00900124"/>
    <w:rsid w:val="009B08CD"/>
    <w:rsid w:val="009E7D9A"/>
    <w:rsid w:val="00A06180"/>
    <w:rsid w:val="00A100D1"/>
    <w:rsid w:val="00A26605"/>
    <w:rsid w:val="00B250C7"/>
    <w:rsid w:val="00B80004"/>
    <w:rsid w:val="00BC5F76"/>
    <w:rsid w:val="00C04910"/>
    <w:rsid w:val="00C23F4E"/>
    <w:rsid w:val="00C41315"/>
    <w:rsid w:val="00C65C3A"/>
    <w:rsid w:val="00C84079"/>
    <w:rsid w:val="00D0205B"/>
    <w:rsid w:val="00D80872"/>
    <w:rsid w:val="00E377A1"/>
    <w:rsid w:val="00E70AE4"/>
    <w:rsid w:val="00EA7133"/>
    <w:rsid w:val="00EF01E8"/>
    <w:rsid w:val="00F20C55"/>
    <w:rsid w:val="00FA5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04157"/>
  <w15:chartTrackingRefBased/>
  <w15:docId w15:val="{AFCDC757-F445-41E0-8761-15F8A195E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028F"/>
    <w:pPr>
      <w:spacing w:after="0" w:line="240" w:lineRule="auto"/>
    </w:pPr>
    <w:rPr>
      <w:rFonts w:ascii="Times New Roman" w:eastAsia="Times New Roman" w:hAnsi="Times New Roman" w:cs="Times New Roman"/>
      <w:sz w:val="24"/>
      <w:szCs w:val="24"/>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C5F76"/>
    <w:pPr>
      <w:spacing w:after="160" w:line="259" w:lineRule="auto"/>
      <w:ind w:left="720"/>
      <w:contextualSpacing/>
    </w:pPr>
    <w:rPr>
      <w:rFonts w:asciiTheme="minorHAnsi" w:eastAsiaTheme="minorHAnsi" w:hAnsiTheme="minorHAnsi" w:cstheme="minorBidi"/>
      <w:sz w:val="22"/>
      <w:szCs w:val="22"/>
      <w:lang w:val="en-US" w:eastAsia="en-US"/>
    </w:rPr>
  </w:style>
  <w:style w:type="character" w:styleId="Komentaronuoroda">
    <w:name w:val="annotation reference"/>
    <w:basedOn w:val="Numatytasispastraiposriftas"/>
    <w:uiPriority w:val="99"/>
    <w:semiHidden/>
    <w:unhideWhenUsed/>
    <w:rsid w:val="00C23F4E"/>
    <w:rPr>
      <w:sz w:val="16"/>
      <w:szCs w:val="16"/>
    </w:rPr>
  </w:style>
  <w:style w:type="paragraph" w:styleId="Komentarotekstas">
    <w:name w:val="annotation text"/>
    <w:basedOn w:val="prastasis"/>
    <w:link w:val="KomentarotekstasDiagrama"/>
    <w:uiPriority w:val="99"/>
    <w:semiHidden/>
    <w:unhideWhenUsed/>
    <w:rsid w:val="00C23F4E"/>
    <w:pPr>
      <w:spacing w:after="160"/>
    </w:pPr>
    <w:rPr>
      <w:rFonts w:asciiTheme="minorHAnsi" w:eastAsiaTheme="minorHAnsi" w:hAnsiTheme="minorHAnsi" w:cstheme="minorBidi"/>
      <w:sz w:val="20"/>
      <w:szCs w:val="20"/>
      <w:lang w:val="en-US" w:eastAsia="en-US"/>
    </w:rPr>
  </w:style>
  <w:style w:type="character" w:customStyle="1" w:styleId="KomentarotekstasDiagrama">
    <w:name w:val="Komentaro tekstas Diagrama"/>
    <w:basedOn w:val="Numatytasispastraiposriftas"/>
    <w:link w:val="Komentarotekstas"/>
    <w:uiPriority w:val="99"/>
    <w:semiHidden/>
    <w:rsid w:val="00C23F4E"/>
    <w:rPr>
      <w:sz w:val="20"/>
      <w:szCs w:val="20"/>
    </w:rPr>
  </w:style>
  <w:style w:type="paragraph" w:styleId="Komentarotema">
    <w:name w:val="annotation subject"/>
    <w:basedOn w:val="Komentarotekstas"/>
    <w:next w:val="Komentarotekstas"/>
    <w:link w:val="KomentarotemaDiagrama"/>
    <w:uiPriority w:val="99"/>
    <w:semiHidden/>
    <w:unhideWhenUsed/>
    <w:rsid w:val="00C23F4E"/>
    <w:rPr>
      <w:b/>
      <w:bCs/>
    </w:rPr>
  </w:style>
  <w:style w:type="character" w:customStyle="1" w:styleId="KomentarotemaDiagrama">
    <w:name w:val="Komentaro tema Diagrama"/>
    <w:basedOn w:val="KomentarotekstasDiagrama"/>
    <w:link w:val="Komentarotema"/>
    <w:uiPriority w:val="99"/>
    <w:semiHidden/>
    <w:rsid w:val="00C23F4E"/>
    <w:rPr>
      <w:b/>
      <w:bCs/>
      <w:sz w:val="20"/>
      <w:szCs w:val="20"/>
    </w:rPr>
  </w:style>
  <w:style w:type="paragraph" w:styleId="Debesliotekstas">
    <w:name w:val="Balloon Text"/>
    <w:basedOn w:val="prastasis"/>
    <w:link w:val="DebesliotekstasDiagrama"/>
    <w:uiPriority w:val="99"/>
    <w:semiHidden/>
    <w:unhideWhenUsed/>
    <w:rsid w:val="00C23F4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3F4E"/>
    <w:rPr>
      <w:rFonts w:ascii="Segoe UI" w:hAnsi="Segoe UI" w:cs="Segoe UI"/>
      <w:sz w:val="18"/>
      <w:szCs w:val="18"/>
    </w:rPr>
  </w:style>
  <w:style w:type="character" w:customStyle="1" w:styleId="wysiwyg-font-size-medium">
    <w:name w:val="wysiwyg-font-size-medium"/>
    <w:basedOn w:val="Numatytasispastraiposriftas"/>
    <w:rsid w:val="00E70AE4"/>
  </w:style>
  <w:style w:type="character" w:customStyle="1" w:styleId="wysiwyg-color-black">
    <w:name w:val="wysiwyg-color-black"/>
    <w:basedOn w:val="Numatytasispastraiposriftas"/>
    <w:rsid w:val="00E70AE4"/>
  </w:style>
  <w:style w:type="paragraph" w:customStyle="1" w:styleId="Point1">
    <w:name w:val="Point 1"/>
    <w:basedOn w:val="prastasis"/>
    <w:rsid w:val="001F028F"/>
    <w:pPr>
      <w:spacing w:before="120" w:after="120"/>
      <w:ind w:left="1418" w:hanging="567"/>
      <w:jc w:val="both"/>
    </w:pPr>
    <w:rPr>
      <w:szCs w:val="20"/>
    </w:rPr>
  </w:style>
  <w:style w:type="paragraph" w:styleId="prastasiniatinklio">
    <w:name w:val="Normal (Web)"/>
    <w:basedOn w:val="prastasis"/>
    <w:uiPriority w:val="99"/>
    <w:unhideWhenUsed/>
    <w:rsid w:val="001F028F"/>
    <w:pPr>
      <w:spacing w:before="100" w:beforeAutospacing="1" w:after="100" w:afterAutospacing="1"/>
    </w:pPr>
    <w:rPr>
      <w:lang w:val="lt-LT" w:eastAsia="lt-LT" w:bidi="bo-CN"/>
    </w:rPr>
  </w:style>
  <w:style w:type="paragraph" w:styleId="Antrats">
    <w:name w:val="header"/>
    <w:basedOn w:val="prastasis"/>
    <w:link w:val="AntratsDiagrama"/>
    <w:uiPriority w:val="99"/>
    <w:unhideWhenUsed/>
    <w:rsid w:val="001F028F"/>
    <w:pPr>
      <w:tabs>
        <w:tab w:val="center" w:pos="4819"/>
        <w:tab w:val="right" w:pos="9638"/>
      </w:tabs>
    </w:pPr>
  </w:style>
  <w:style w:type="character" w:customStyle="1" w:styleId="AntratsDiagrama">
    <w:name w:val="Antraštės Diagrama"/>
    <w:basedOn w:val="Numatytasispastraiposriftas"/>
    <w:link w:val="Antrats"/>
    <w:uiPriority w:val="99"/>
    <w:rsid w:val="001F028F"/>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3159</Words>
  <Characters>1801</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Steponėnas</dc:creator>
  <cp:keywords/>
  <dc:description/>
  <cp:lastModifiedBy>Jelena Baroniūnienė</cp:lastModifiedBy>
  <cp:revision>2</cp:revision>
  <dcterms:created xsi:type="dcterms:W3CDTF">2026-04-20T05:58:00Z</dcterms:created>
  <dcterms:modified xsi:type="dcterms:W3CDTF">2026-04-20T05:58:00Z</dcterms:modified>
</cp:coreProperties>
</file>