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3C206AC5" w:rsidR="005A5832" w:rsidRPr="007F23FB" w:rsidRDefault="00E34A14" w:rsidP="00754DDE">
            <w:pPr>
              <w:jc w:val="both"/>
              <w:rPr>
                <w:b/>
                <w:bCs/>
                <w:kern w:val="2"/>
                <w:szCs w:val="24"/>
              </w:rPr>
            </w:pPr>
            <w:proofErr w:type="spellStart"/>
            <w:r>
              <w:rPr>
                <w:b/>
                <w:bCs/>
                <w:kern w:val="2"/>
                <w:szCs w:val="24"/>
              </w:rPr>
              <w:t>Ivanti</w:t>
            </w:r>
            <w:proofErr w:type="spellEnd"/>
            <w:r>
              <w:rPr>
                <w:b/>
                <w:bCs/>
                <w:kern w:val="2"/>
                <w:szCs w:val="24"/>
              </w:rPr>
              <w:t xml:space="preserve"> sistemos licencijų nuoma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42D547EE"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 xml:space="preserve">įsipareigoja Sutartyje numatytomis sąlygomis nuomoti </w:t>
            </w:r>
            <w:proofErr w:type="spellStart"/>
            <w:r w:rsidR="00E34A14">
              <w:rPr>
                <w:szCs w:val="24"/>
              </w:rPr>
              <w:t>Ivanti</w:t>
            </w:r>
            <w:proofErr w:type="spellEnd"/>
            <w:r w:rsidR="00E34A14">
              <w:rPr>
                <w:szCs w:val="24"/>
              </w:rPr>
              <w:t xml:space="preserve"> sistemos licencijas </w:t>
            </w:r>
            <w:r w:rsidR="00065437">
              <w:rPr>
                <w:szCs w:val="24"/>
              </w:rPr>
              <w:t>(toliau – Prekė</w:t>
            </w:r>
            <w:r w:rsidR="00E34A14">
              <w:rPr>
                <w:szCs w:val="24"/>
              </w:rPr>
              <w:t>s</w:t>
            </w:r>
            <w:r w:rsidR="00065437">
              <w:rPr>
                <w:szCs w:val="24"/>
              </w:rPr>
              <w:t>).</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7D253367" w:rsidR="005A5832" w:rsidRPr="007F23FB" w:rsidRDefault="00E34A14" w:rsidP="00120179">
            <w:pPr>
              <w:rPr>
                <w:kern w:val="2"/>
                <w:szCs w:val="24"/>
              </w:rPr>
            </w:pPr>
            <w:proofErr w:type="spellStart"/>
            <w:r w:rsidRPr="00E34A14">
              <w:rPr>
                <w:kern w:val="2"/>
                <w:szCs w:val="24"/>
              </w:rPr>
              <w:t>Ivanti</w:t>
            </w:r>
            <w:proofErr w:type="spellEnd"/>
            <w:r w:rsidRPr="00E34A14">
              <w:rPr>
                <w:kern w:val="2"/>
                <w:szCs w:val="24"/>
              </w:rPr>
              <w:t xml:space="preserve"> sistemos licencijų nuoma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3FFAD42C" w:rsidR="00155142" w:rsidRPr="000478B2" w:rsidRDefault="00914528" w:rsidP="007625D3">
            <w:pPr>
              <w:jc w:val="both"/>
              <w:rPr>
                <w:szCs w:val="24"/>
              </w:rPr>
            </w:pPr>
            <w:r w:rsidRPr="007F23FB">
              <w:rPr>
                <w:b/>
                <w:bCs/>
                <w:szCs w:val="24"/>
              </w:rPr>
              <w:t>Tiekėjas</w:t>
            </w:r>
            <w:r w:rsidR="00990C06" w:rsidRPr="007F23FB">
              <w:rPr>
                <w:szCs w:val="24"/>
              </w:rPr>
              <w:t xml:space="preserve"> </w:t>
            </w:r>
            <w:r w:rsidR="008E1149" w:rsidRPr="008E1149">
              <w:rPr>
                <w:szCs w:val="24"/>
              </w:rPr>
              <w:t>Prekes (visą prekių kiekį) įsipareigoja</w:t>
            </w:r>
            <w:r w:rsidR="008E1149">
              <w:rPr>
                <w:szCs w:val="24"/>
              </w:rPr>
              <w:t xml:space="preserve"> pristatyti ne vėliau kaip per 1</w:t>
            </w:r>
            <w:r w:rsidR="00E34A14">
              <w:rPr>
                <w:szCs w:val="24"/>
              </w:rPr>
              <w:t>0</w:t>
            </w:r>
            <w:r w:rsidR="008E1149">
              <w:rPr>
                <w:szCs w:val="24"/>
              </w:rPr>
              <w:t xml:space="preserve"> (</w:t>
            </w:r>
            <w:r w:rsidR="00E34A14">
              <w:rPr>
                <w:szCs w:val="24"/>
              </w:rPr>
              <w:t>dešimt</w:t>
            </w:r>
            <w:r w:rsidR="008E1149">
              <w:rPr>
                <w:szCs w:val="24"/>
              </w:rPr>
              <w:t xml:space="preserve">) </w:t>
            </w:r>
            <w:r w:rsidR="00E34A14">
              <w:rPr>
                <w:szCs w:val="24"/>
              </w:rPr>
              <w:t>darbo dienų</w:t>
            </w:r>
            <w:r w:rsidR="008E1149" w:rsidRPr="008E1149">
              <w:rPr>
                <w:szCs w:val="24"/>
              </w:rPr>
              <w:t xml:space="preserve"> nuo Sutarties įsigaliojimo dienos </w:t>
            </w:r>
            <w:proofErr w:type="spellStart"/>
            <w:r w:rsidR="008E1149" w:rsidRPr="008E1149">
              <w:rPr>
                <w:szCs w:val="24"/>
              </w:rPr>
              <w:t>el.</w:t>
            </w:r>
            <w:r w:rsidR="007625D3">
              <w:rPr>
                <w:szCs w:val="24"/>
              </w:rPr>
              <w:t>paštu</w:t>
            </w:r>
            <w:proofErr w:type="spellEnd"/>
            <w:r w:rsidR="008E1149">
              <w:rPr>
                <w:szCs w:val="24"/>
              </w:rPr>
              <w:t xml:space="preserve"> </w:t>
            </w:r>
            <w:hyperlink r:id="rId11" w:history="1">
              <w:r w:rsidR="00E34A14" w:rsidRPr="00E34A14">
                <w:rPr>
                  <w:rFonts w:eastAsia="Calibri"/>
                  <w:color w:val="0563C1"/>
                  <w:szCs w:val="24"/>
                  <w:u w:val="single"/>
                </w:rPr>
                <w:t>edvinas.andriukaitis@nksc.lt</w:t>
              </w:r>
            </w:hyperlink>
            <w:r w:rsidR="008E1149">
              <w:rPr>
                <w:szCs w:val="24"/>
              </w:rPr>
              <w:t xml:space="preserve">. </w:t>
            </w:r>
            <w:r w:rsidR="00393FF5">
              <w:rPr>
                <w:szCs w:val="24"/>
              </w:rPr>
              <w:t xml:space="preserve">Licencijuota prieiga </w:t>
            </w:r>
            <w:r w:rsidR="00C87A09" w:rsidRPr="007B6E9F">
              <w:rPr>
                <w:b/>
                <w:szCs w:val="24"/>
              </w:rPr>
              <w:t>Pirkėjui</w:t>
            </w:r>
            <w:r w:rsidR="00C87A09">
              <w:rPr>
                <w:szCs w:val="24"/>
              </w:rPr>
              <w:t xml:space="preserve"> </w:t>
            </w:r>
            <w:r w:rsidR="00393FF5">
              <w:rPr>
                <w:szCs w:val="24"/>
              </w:rPr>
              <w:t xml:space="preserve">turi būti suteikiama </w:t>
            </w:r>
            <w:r w:rsidR="00393FF5" w:rsidRPr="00393FF5">
              <w:rPr>
                <w:szCs w:val="24"/>
              </w:rPr>
              <w:t xml:space="preserve">ne mažiau kaip 1 metams, </w:t>
            </w:r>
            <w:r w:rsidR="007625D3" w:rsidRPr="007625D3">
              <w:rPr>
                <w:szCs w:val="24"/>
              </w:rPr>
              <w:t xml:space="preserve">licencijos turi būti matomos gamintojo portale </w:t>
            </w:r>
            <w:hyperlink r:id="rId12" w:history="1">
              <w:r w:rsidR="007625D3" w:rsidRPr="008B43BF">
                <w:rPr>
                  <w:rStyle w:val="Hyperlink"/>
                  <w:szCs w:val="24"/>
                </w:rPr>
                <w:t>https://portal.ivanti.com</w:t>
              </w:r>
            </w:hyperlink>
            <w:r w:rsidR="007625D3">
              <w:rPr>
                <w:szCs w:val="24"/>
              </w:rPr>
              <w:t xml:space="preserve">. </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w:t>
            </w:r>
            <w:r w:rsidRPr="002541EC">
              <w:rPr>
                <w:szCs w:val="24"/>
              </w:rPr>
              <w:lastRenderedPageBreak/>
              <w:t>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714DC9D5" w:rsidR="009044BC" w:rsidRPr="007F23FB" w:rsidRDefault="009044BC" w:rsidP="00DB1B65">
            <w:pPr>
              <w:jc w:val="both"/>
            </w:pPr>
            <w:r w:rsidRPr="009044BC">
              <w:rPr>
                <w:kern w:val="2"/>
                <w:szCs w:val="24"/>
              </w:rPr>
              <w:t xml:space="preserve">Pirkėjas </w:t>
            </w:r>
            <w:r w:rsidR="000B1614">
              <w:rPr>
                <w:kern w:val="2"/>
                <w:szCs w:val="24"/>
              </w:rPr>
              <w:t>sumoka</w:t>
            </w:r>
            <w:r w:rsidRPr="009044BC">
              <w:rPr>
                <w:kern w:val="2"/>
                <w:szCs w:val="24"/>
              </w:rPr>
              <w:t xml:space="preserve"> Tiekėju</w:t>
            </w:r>
            <w:r w:rsidR="008E1149">
              <w:rPr>
                <w:kern w:val="2"/>
                <w:szCs w:val="24"/>
              </w:rPr>
              <w:t>i už Prekę (įskaitant ir už 12</w:t>
            </w:r>
            <w:r w:rsidR="000B1614">
              <w:rPr>
                <w:kern w:val="2"/>
                <w:szCs w:val="24"/>
              </w:rPr>
              <w:t xml:space="preserve"> mėnesių</w:t>
            </w:r>
            <w:r w:rsidR="000B1614">
              <w:t xml:space="preserve"> </w:t>
            </w:r>
            <w:r w:rsidR="000B1614" w:rsidRPr="000B1614">
              <w:rPr>
                <w:kern w:val="2"/>
                <w:szCs w:val="24"/>
              </w:rPr>
              <w:t>programinės įrangos palaikymą</w:t>
            </w:r>
            <w:r w:rsidR="000B1614">
              <w:rPr>
                <w:kern w:val="2"/>
                <w:szCs w:val="24"/>
              </w:rPr>
              <w:t>)</w:t>
            </w:r>
            <w:r w:rsidRPr="009044BC">
              <w:rPr>
                <w:kern w:val="2"/>
                <w:szCs w:val="24"/>
              </w:rPr>
              <w:t xml:space="preserve"> ne vėliau kaip per 30 (trisdešimt) kalendorinių dienų nuo Prekių perdavimo–priėmimo akto pasirašymo</w:t>
            </w:r>
            <w:r w:rsidR="008E1149">
              <w:rPr>
                <w:kern w:val="2"/>
                <w:szCs w:val="24"/>
              </w:rPr>
              <w:t xml:space="preserve"> (už visą 12</w:t>
            </w:r>
            <w:r>
              <w:rPr>
                <w:kern w:val="2"/>
                <w:szCs w:val="24"/>
              </w:rPr>
              <w:t xml:space="preserve"> mėnesių laikotarpį)</w:t>
            </w:r>
            <w:r w:rsidRPr="009044BC">
              <w:rPr>
                <w:kern w:val="2"/>
                <w:szCs w:val="24"/>
              </w:rPr>
              <w:t xml:space="preserve"> 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10A4D119" w:rsidR="009044BC" w:rsidRPr="009044BC" w:rsidRDefault="008E1149" w:rsidP="008E1149">
            <w:pPr>
              <w:tabs>
                <w:tab w:val="left" w:pos="394"/>
                <w:tab w:val="left" w:pos="536"/>
              </w:tabs>
              <w:jc w:val="both"/>
              <w:rPr>
                <w:i/>
                <w:iCs/>
                <w:szCs w:val="24"/>
              </w:rPr>
            </w:pPr>
            <w:r>
              <w:rPr>
                <w:szCs w:val="24"/>
              </w:rPr>
              <w:t>Tiekėjas turi užtikrinti visą 12</w:t>
            </w:r>
            <w:r w:rsidR="009044BC" w:rsidRPr="004C4457">
              <w:rPr>
                <w:szCs w:val="24"/>
              </w:rPr>
              <w:t xml:space="preserve"> (</w:t>
            </w:r>
            <w:r>
              <w:rPr>
                <w:szCs w:val="24"/>
              </w:rPr>
              <w:t>dvylikos) mėnesių</w:t>
            </w:r>
            <w:r w:rsidR="009044BC" w:rsidRPr="004C4457">
              <w:rPr>
                <w:szCs w:val="24"/>
              </w:rPr>
              <w:t xml:space="preserve"> nuomos laikotarpį</w:t>
            </w:r>
            <w:r>
              <w:rPr>
                <w:szCs w:val="24"/>
              </w:rPr>
              <w:t xml:space="preserve"> programinės įrangos palaikymą.</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31530FA1" w14:textId="6E91B6FA" w:rsidR="00C224FA" w:rsidRPr="007F23FB" w:rsidRDefault="0085703D" w:rsidP="007625D3">
            <w:pPr>
              <w:jc w:val="both"/>
            </w:pPr>
            <w:r w:rsidRPr="0085703D">
              <w:rPr>
                <w:bCs/>
                <w:kern w:val="2"/>
                <w:szCs w:val="24"/>
              </w:rPr>
              <w:t>Prekių trūkumų nustatymo bei šalinimo tvarka nustatyta Bendrųjų sąlygų 7 skyriuje.</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77777777" w:rsidR="005A5832" w:rsidRDefault="009044BC" w:rsidP="00457880">
            <w:pPr>
              <w:spacing w:line="259" w:lineRule="auto"/>
              <w:jc w:val="both"/>
              <w:rPr>
                <w:kern w:val="2"/>
                <w:szCs w:val="24"/>
              </w:rPr>
            </w:pPr>
            <w:r>
              <w:rPr>
                <w:color w:val="000000"/>
                <w:kern w:val="2"/>
              </w:rPr>
              <w:t xml:space="preserve">9.1.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4D170F82" w:rsidR="009044BC" w:rsidRPr="007F23FB" w:rsidRDefault="009044BC" w:rsidP="000B1614">
            <w:pPr>
              <w:spacing w:line="259" w:lineRule="auto"/>
              <w:jc w:val="both"/>
              <w:rPr>
                <w:color w:val="FF0000"/>
              </w:rPr>
            </w:pPr>
            <w:r>
              <w:rPr>
                <w:kern w:val="2"/>
                <w:szCs w:val="24"/>
              </w:rPr>
              <w:t>9.2.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71CB5E" w:rsidR="000F5194" w:rsidRPr="00FE3DF0" w:rsidRDefault="000D0376" w:rsidP="000F5194">
            <w:pPr>
              <w:jc w:val="both"/>
              <w:rPr>
                <w:szCs w:val="24"/>
                <w:lang w:val="lt"/>
              </w:rPr>
            </w:pPr>
            <w:r w:rsidRPr="000D0376">
              <w:rPr>
                <w:color w:val="000000" w:themeColor="text1"/>
                <w:szCs w:val="24"/>
                <w:lang w:val="lt"/>
              </w:rPr>
              <w:t>200 (dviejų šimtų) Eur (be PVM) bauda kiekvienam nustatytam pažeidimui.</w:t>
            </w:r>
          </w:p>
          <w:p w14:paraId="28487939" w14:textId="79ADE02A" w:rsidR="005A5832" w:rsidRPr="007F23FB" w:rsidRDefault="005A5832">
            <w:pPr>
              <w:rPr>
                <w:color w:val="000000"/>
                <w:kern w:val="2"/>
                <w:szCs w:val="24"/>
              </w:rPr>
            </w:pP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lastRenderedPageBreak/>
              <w:t>10.1. Esminės Sutarties sąlygos</w:t>
            </w:r>
          </w:p>
        </w:tc>
        <w:tc>
          <w:tcPr>
            <w:tcW w:w="6829" w:type="dxa"/>
            <w:gridSpan w:val="2"/>
          </w:tcPr>
          <w:p w14:paraId="4C65E321" w14:textId="41578F3D" w:rsidR="00C05307" w:rsidRPr="000A05A2" w:rsidRDefault="00E773CA" w:rsidP="00E773CA">
            <w:pPr>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549837D5" w:rsidR="004C4457" w:rsidRPr="007F23FB" w:rsidRDefault="00A512C5" w:rsidP="008A3237">
            <w:pPr>
              <w:jc w:val="both"/>
              <w:rPr>
                <w:bCs/>
                <w:szCs w:val="24"/>
              </w:rPr>
            </w:pPr>
            <w:r w:rsidRPr="00A512C5">
              <w:rPr>
                <w:kern w:val="2"/>
                <w:szCs w:val="24"/>
              </w:rPr>
              <w:t>Ši Sutartis laikoma sudaryta ka</w:t>
            </w:r>
            <w:r>
              <w:rPr>
                <w:kern w:val="2"/>
                <w:szCs w:val="24"/>
              </w:rPr>
              <w:t>i (pirma) ją pasirašo abi Šalys</w:t>
            </w:r>
            <w:r w:rsidRPr="00A512C5">
              <w:rPr>
                <w:kern w:val="2"/>
                <w:szCs w:val="24"/>
              </w:rPr>
              <w:t>. Sutartis galioja iki visiško prievolių įvykdymo.</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A84F3F9" w:rsidR="005A5832" w:rsidRPr="007F23FB" w:rsidRDefault="008A3237" w:rsidP="001912DF">
            <w:pPr>
              <w:jc w:val="both"/>
              <w:rPr>
                <w:kern w:val="2"/>
                <w:szCs w:val="24"/>
              </w:rPr>
            </w:pPr>
            <w:r w:rsidRPr="008A3237">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w:t>
            </w:r>
            <w:r w:rsidR="00C45BCD" w:rsidRPr="007F23FB">
              <w:rPr>
                <w:szCs w:val="24"/>
              </w:rPr>
              <w:lastRenderedPageBreak/>
              <w:t>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662E1F0" w14:textId="77777777" w:rsidR="009F2E32" w:rsidRDefault="00A512C5" w:rsidP="00754DDE">
            <w:pPr>
              <w:jc w:val="both"/>
            </w:pPr>
            <w:r w:rsidRPr="00A512C5">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w:t>
            </w:r>
            <w:proofErr w:type="spellStart"/>
            <w:r w:rsidRPr="00A512C5">
              <w:t>p</w:t>
            </w:r>
            <w:r w:rsidR="009766DA">
              <w:t>apunikčiu</w:t>
            </w:r>
            <w:proofErr w:type="spellEnd"/>
            <w:r w:rsidRPr="00A512C5">
              <w:t>.</w:t>
            </w:r>
          </w:p>
          <w:p w14:paraId="6B77AF86" w14:textId="5FDA1A34" w:rsidR="009766DA" w:rsidRPr="009F2E32" w:rsidRDefault="009766DA" w:rsidP="00754DDE">
            <w:pPr>
              <w:jc w:val="both"/>
              <w:rPr>
                <w:bCs/>
                <w:kern w:val="2"/>
                <w:szCs w:val="24"/>
              </w:rPr>
            </w:pPr>
            <w:r w:rsidRPr="009766DA">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lastRenderedPageBreak/>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3"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w:t>
            </w:r>
            <w:r w:rsidRPr="00400457">
              <w:rPr>
                <w:kern w:val="2"/>
                <w:szCs w:val="24"/>
              </w:rPr>
              <w:lastRenderedPageBreak/>
              <w:t>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4FFBE183" w14:textId="4B44054D" w:rsidR="00A9093D" w:rsidRDefault="00E67183" w:rsidP="00A9093D">
      <w:pPr>
        <w:suppressAutoHyphens/>
        <w:autoSpaceDN w:val="0"/>
        <w:jc w:val="center"/>
        <w:textAlignment w:val="baseline"/>
        <w:rPr>
          <w:rFonts w:eastAsia="Calibri"/>
          <w:b/>
          <w:bCs/>
          <w:szCs w:val="24"/>
        </w:rPr>
      </w:pPr>
      <w:proofErr w:type="spellStart"/>
      <w:r w:rsidRPr="00E67183">
        <w:rPr>
          <w:rFonts w:eastAsia="Calibri"/>
          <w:b/>
          <w:bCs/>
          <w:szCs w:val="24"/>
        </w:rPr>
        <w:t>Ivanti</w:t>
      </w:r>
      <w:proofErr w:type="spellEnd"/>
      <w:r w:rsidRPr="00E67183">
        <w:rPr>
          <w:rFonts w:eastAsia="Calibri"/>
          <w:b/>
          <w:bCs/>
          <w:szCs w:val="24"/>
        </w:rPr>
        <w:t xml:space="preserve"> sistemos licencijų nuoma</w:t>
      </w:r>
    </w:p>
    <w:p w14:paraId="32A22234" w14:textId="77777777" w:rsidR="00E67183" w:rsidRPr="007B4895" w:rsidRDefault="00E67183"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0"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0"/>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lastRenderedPageBreak/>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1" w:name="_Hlk159404481"/>
      <w:r w:rsidRPr="007B4895">
        <w:rPr>
          <w:rFonts w:eastAsia="Calibri"/>
          <w:b/>
          <w:bCs/>
          <w:sz w:val="22"/>
          <w:szCs w:val="22"/>
        </w:rPr>
        <w:t xml:space="preserve">) </w:t>
      </w:r>
    </w:p>
    <w:bookmarkEnd w:id="1"/>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7EB5AC37" w:rsidR="00A9093D" w:rsidRPr="007B4895" w:rsidRDefault="008A3237" w:rsidP="00862840">
            <w:pPr>
              <w:autoSpaceDN w:val="0"/>
              <w:spacing w:line="256" w:lineRule="auto"/>
              <w:jc w:val="both"/>
              <w:textAlignment w:val="baseline"/>
              <w:rPr>
                <w:b/>
                <w:sz w:val="22"/>
                <w:szCs w:val="22"/>
              </w:rPr>
            </w:pPr>
            <w:proofErr w:type="spellStart"/>
            <w:r>
              <w:rPr>
                <w:b/>
                <w:i/>
                <w:sz w:val="22"/>
                <w:szCs w:val="22"/>
              </w:rPr>
              <w:t>Ivanti</w:t>
            </w:r>
            <w:proofErr w:type="spellEnd"/>
            <w:r>
              <w:rPr>
                <w:b/>
                <w:i/>
                <w:sz w:val="22"/>
                <w:szCs w:val="22"/>
              </w:rPr>
              <w:t xml:space="preserve"> sistemos licencijų</w:t>
            </w:r>
            <w:r w:rsidRPr="008A3237">
              <w:rPr>
                <w:b/>
                <w:i/>
                <w:sz w:val="22"/>
                <w:szCs w:val="22"/>
              </w:rPr>
              <w:t xml:space="preserve"> </w:t>
            </w:r>
            <w:r w:rsidR="00A512C5" w:rsidRPr="00A512C5">
              <w:rPr>
                <w:b/>
                <w:i/>
                <w:sz w:val="22"/>
                <w:szCs w:val="22"/>
              </w:rPr>
              <w:t>nuoma</w:t>
            </w:r>
            <w:r w:rsidR="00A512C5">
              <w:rPr>
                <w:b/>
                <w:i/>
                <w:sz w:val="22"/>
                <w:szCs w:val="22"/>
              </w:rPr>
              <w:t xml:space="preserve"> (12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32F805B9" w:rsidR="00A9093D" w:rsidRPr="007B4895" w:rsidRDefault="008A3237" w:rsidP="00862840">
            <w:pPr>
              <w:autoSpaceDN w:val="0"/>
              <w:jc w:val="center"/>
              <w:textAlignment w:val="baseline"/>
              <w:rPr>
                <w:rFonts w:ascii="Calibri" w:eastAsia="Calibri" w:hAnsi="Calibri"/>
                <w:sz w:val="22"/>
                <w:szCs w:val="22"/>
              </w:rPr>
            </w:pPr>
            <w:r>
              <w:rPr>
                <w:rFonts w:ascii="Calibri" w:eastAsia="Calibri" w:hAnsi="Calibri"/>
                <w:sz w:val="22"/>
                <w:szCs w:val="22"/>
              </w:rPr>
              <w:t>30</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C67ACCC"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Ūkio subjekto, kurio pajėgumais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lastRenderedPageBreak/>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5B3534D7" w14:textId="77777777" w:rsidR="00C80012" w:rsidRDefault="00C80012" w:rsidP="00A9093D">
      <w:pPr>
        <w:jc w:val="both"/>
        <w:rPr>
          <w:sz w:val="20"/>
        </w:rPr>
      </w:pPr>
    </w:p>
    <w:p w14:paraId="44CE6EFD" w14:textId="77777777" w:rsidR="00C80012" w:rsidRDefault="00C80012" w:rsidP="00A9093D">
      <w:pPr>
        <w:jc w:val="both"/>
        <w:rPr>
          <w:sz w:val="20"/>
        </w:rPr>
      </w:pPr>
    </w:p>
    <w:p w14:paraId="36EAD131" w14:textId="77777777" w:rsidR="00C80012" w:rsidRDefault="00C80012" w:rsidP="00A9093D">
      <w:pPr>
        <w:jc w:val="both"/>
        <w:rPr>
          <w:sz w:val="20"/>
        </w:rPr>
      </w:pPr>
    </w:p>
    <w:p w14:paraId="79384415" w14:textId="77777777" w:rsidR="00C80012" w:rsidRDefault="00C80012" w:rsidP="00A9093D">
      <w:pPr>
        <w:jc w:val="both"/>
        <w:rPr>
          <w:sz w:val="20"/>
        </w:rPr>
      </w:pPr>
    </w:p>
    <w:p w14:paraId="64BD8CF1" w14:textId="77777777" w:rsidR="00C80012" w:rsidRDefault="00C80012" w:rsidP="00A9093D">
      <w:pPr>
        <w:jc w:val="both"/>
        <w:rPr>
          <w:sz w:val="20"/>
        </w:rPr>
      </w:pPr>
    </w:p>
    <w:p w14:paraId="7DEFC9D5" w14:textId="77777777" w:rsidR="00C80012" w:rsidRDefault="00C80012" w:rsidP="00A9093D">
      <w:pPr>
        <w:jc w:val="both"/>
        <w:rPr>
          <w:sz w:val="20"/>
        </w:rPr>
      </w:pPr>
    </w:p>
    <w:p w14:paraId="053901CF" w14:textId="77777777" w:rsidR="00C80012" w:rsidRDefault="00C80012" w:rsidP="00A9093D">
      <w:pPr>
        <w:jc w:val="both"/>
        <w:rPr>
          <w:sz w:val="20"/>
        </w:rPr>
      </w:pPr>
    </w:p>
    <w:p w14:paraId="6849D6DD"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t xml:space="preserve">Sutarties </w:t>
      </w:r>
      <w:r>
        <w:rPr>
          <w:i/>
          <w:color w:val="000000"/>
          <w:szCs w:val="24"/>
        </w:rPr>
        <w:t>2</w:t>
      </w:r>
      <w:r w:rsidRPr="00A9093D">
        <w:rPr>
          <w:i/>
          <w:color w:val="000000"/>
          <w:szCs w:val="24"/>
        </w:rPr>
        <w:t xml:space="preserve"> priedas</w:t>
      </w:r>
    </w:p>
    <w:p w14:paraId="306B0029" w14:textId="77777777" w:rsidR="00C80012" w:rsidRDefault="00C80012" w:rsidP="00A512C5">
      <w:pPr>
        <w:jc w:val="right"/>
        <w:rPr>
          <w:i/>
          <w:color w:val="000000"/>
          <w:szCs w:val="24"/>
        </w:rPr>
      </w:pPr>
    </w:p>
    <w:p w14:paraId="02027549" w14:textId="77777777" w:rsidR="00C80012" w:rsidRPr="00A9093D" w:rsidRDefault="00C80012" w:rsidP="00A512C5">
      <w:pPr>
        <w:jc w:val="right"/>
        <w:rPr>
          <w:i/>
          <w:color w:val="000000"/>
          <w:szCs w:val="24"/>
        </w:rPr>
      </w:pPr>
    </w:p>
    <w:p w14:paraId="192734A3" w14:textId="3B72F916" w:rsidR="00C80012" w:rsidRPr="008A3237" w:rsidRDefault="008A3237" w:rsidP="008A3237">
      <w:pPr>
        <w:jc w:val="center"/>
        <w:rPr>
          <w:b/>
          <w:caps/>
          <w:szCs w:val="24"/>
        </w:rPr>
      </w:pPr>
      <w:r>
        <w:rPr>
          <w:b/>
          <w:caps/>
          <w:szCs w:val="24"/>
        </w:rPr>
        <w:t>TECHNINĖ SPECIFIKACIJA</w:t>
      </w:r>
    </w:p>
    <w:p w14:paraId="4C86E8EB" w14:textId="77777777" w:rsidR="00C80012" w:rsidRPr="00371AE7" w:rsidRDefault="00C80012" w:rsidP="00C80012">
      <w:pPr>
        <w:suppressAutoHyphens/>
        <w:rPr>
          <w:szCs w:val="24"/>
          <w:lang w:eastAsia="ar-SA"/>
        </w:rPr>
      </w:pPr>
    </w:p>
    <w:p w14:paraId="72489F40" w14:textId="77777777" w:rsidR="008A3237" w:rsidRPr="008A3237" w:rsidRDefault="008A3237" w:rsidP="008A3237">
      <w:pPr>
        <w:numPr>
          <w:ilvl w:val="0"/>
          <w:numId w:val="3"/>
        </w:numPr>
        <w:tabs>
          <w:tab w:val="left" w:pos="851"/>
          <w:tab w:val="left" w:pos="993"/>
        </w:tabs>
        <w:spacing w:line="360" w:lineRule="auto"/>
        <w:ind w:left="0" w:firstLine="570"/>
        <w:rPr>
          <w:szCs w:val="24"/>
        </w:rPr>
      </w:pPr>
      <w:r w:rsidRPr="008A3237">
        <w:rPr>
          <w:b/>
          <w:szCs w:val="24"/>
        </w:rPr>
        <w:t xml:space="preserve">Pirkimo objektas – </w:t>
      </w:r>
      <w:r w:rsidRPr="008A3237">
        <w:rPr>
          <w:szCs w:val="24"/>
        </w:rPr>
        <w:t xml:space="preserve">Nacionalinio kibernetinio saugumo centro prie Krašto apsaugos ministerijos (toliau – NKSC) naudojamos IVANTI NEURONS FOR ITSM programinės įrangos licencijos su vienerių metų palaikymu gamintojo technine priežiūra ir naujumo garantija. </w:t>
      </w:r>
    </w:p>
    <w:p w14:paraId="67124086" w14:textId="77777777" w:rsidR="008A3237" w:rsidRPr="008A3237" w:rsidRDefault="008A3237" w:rsidP="008A3237">
      <w:pPr>
        <w:numPr>
          <w:ilvl w:val="0"/>
          <w:numId w:val="3"/>
        </w:numPr>
        <w:tabs>
          <w:tab w:val="left" w:pos="851"/>
          <w:tab w:val="left" w:pos="993"/>
        </w:tabs>
        <w:spacing w:line="360" w:lineRule="auto"/>
        <w:ind w:left="0" w:firstLine="567"/>
        <w:rPr>
          <w:szCs w:val="24"/>
        </w:rPr>
      </w:pPr>
      <w:r w:rsidRPr="008A3237">
        <w:rPr>
          <w:b/>
          <w:bCs/>
          <w:szCs w:val="24"/>
        </w:rPr>
        <w:t xml:space="preserve">Pirkimo tikslas – </w:t>
      </w:r>
      <w:r w:rsidRPr="008A3237">
        <w:rPr>
          <w:szCs w:val="24"/>
        </w:rPr>
        <w:t>padidinti NKSC turimą IVANTI NEURONS FOR ITSM programinės įrangos licencijų kiekį.</w:t>
      </w:r>
    </w:p>
    <w:p w14:paraId="424252A2" w14:textId="77777777" w:rsidR="008A3237" w:rsidRPr="008A3237" w:rsidRDefault="008A3237" w:rsidP="008A3237">
      <w:pPr>
        <w:numPr>
          <w:ilvl w:val="1"/>
          <w:numId w:val="3"/>
        </w:numPr>
        <w:tabs>
          <w:tab w:val="left" w:pos="851"/>
          <w:tab w:val="left" w:pos="993"/>
        </w:tabs>
        <w:spacing w:line="360" w:lineRule="auto"/>
        <w:ind w:left="0" w:firstLine="567"/>
        <w:rPr>
          <w:szCs w:val="24"/>
        </w:rPr>
      </w:pPr>
      <w:r w:rsidRPr="008A3237">
        <w:rPr>
          <w:szCs w:val="24"/>
        </w:rPr>
        <w:t>Programinės įrangos licencijų techninės priežiūros paslaugos teikiamos darbo valandomis (pirmadieniais – ketvirtadieniais nuo 8:00 val. iki 17:00 val., penktadieniais nuo 8:00 val. iki 15:45 val., darbo dienos trukmė prieš šventines dienas – viena valanda trumpiau).</w:t>
      </w:r>
    </w:p>
    <w:p w14:paraId="0568F7A8" w14:textId="77777777" w:rsidR="008A3237" w:rsidRPr="008A3237" w:rsidRDefault="008A3237" w:rsidP="008A3237">
      <w:pPr>
        <w:numPr>
          <w:ilvl w:val="0"/>
          <w:numId w:val="3"/>
        </w:numPr>
        <w:tabs>
          <w:tab w:val="left" w:pos="851"/>
          <w:tab w:val="left" w:pos="993"/>
        </w:tabs>
        <w:spacing w:line="360" w:lineRule="auto"/>
        <w:ind w:left="0" w:firstLine="567"/>
        <w:rPr>
          <w:b/>
          <w:bCs/>
          <w:szCs w:val="24"/>
        </w:rPr>
      </w:pPr>
      <w:r w:rsidRPr="008A3237">
        <w:rPr>
          <w:b/>
          <w:bCs/>
          <w:szCs w:val="24"/>
        </w:rPr>
        <w:t>Informacija apie NKSC naudojamą programinę įrangą.</w:t>
      </w:r>
    </w:p>
    <w:p w14:paraId="26F1A39A" w14:textId="77777777" w:rsidR="008A3237" w:rsidRPr="008A3237" w:rsidRDefault="008A3237" w:rsidP="008A3237">
      <w:pPr>
        <w:numPr>
          <w:ilvl w:val="1"/>
          <w:numId w:val="3"/>
        </w:numPr>
        <w:tabs>
          <w:tab w:val="left" w:pos="851"/>
          <w:tab w:val="left" w:pos="993"/>
        </w:tabs>
        <w:spacing w:line="360" w:lineRule="auto"/>
        <w:ind w:left="0" w:firstLine="567"/>
        <w:rPr>
          <w:spacing w:val="-1"/>
          <w:szCs w:val="24"/>
        </w:rPr>
      </w:pPr>
      <w:r w:rsidRPr="008A3237">
        <w:rPr>
          <w:szCs w:val="24"/>
          <w:lang w:eastAsia="lt-LT"/>
        </w:rPr>
        <w:t>Programinė įranga yra IVANTI NEURONS FOR ITSM</w:t>
      </w:r>
      <w:r w:rsidRPr="008A3237">
        <w:rPr>
          <w:rFonts w:eastAsia="Calibri"/>
          <w:spacing w:val="-2"/>
          <w:szCs w:val="24"/>
        </w:rPr>
        <w:t xml:space="preserve"> </w:t>
      </w:r>
      <w:r w:rsidRPr="008A3237">
        <w:rPr>
          <w:color w:val="000000"/>
          <w:szCs w:val="24"/>
        </w:rPr>
        <w:t>(</w:t>
      </w:r>
      <w:hyperlink r:id="rId14" w:history="1">
        <w:r w:rsidRPr="008A3237">
          <w:rPr>
            <w:color w:val="0563C1"/>
            <w:szCs w:val="24"/>
            <w:u w:val="single"/>
          </w:rPr>
          <w:t>https://www.ivanti.com/products/ivanti-neurons-itsm</w:t>
        </w:r>
      </w:hyperlink>
      <w:r w:rsidRPr="008A3237">
        <w:rPr>
          <w:color w:val="000000"/>
          <w:szCs w:val="24"/>
        </w:rPr>
        <w:t>) ir ji</w:t>
      </w:r>
      <w:r w:rsidRPr="008A3237">
        <w:rPr>
          <w:rFonts w:eastAsia="Calibri"/>
          <w:spacing w:val="-2"/>
          <w:szCs w:val="24"/>
        </w:rPr>
        <w:t xml:space="preserve"> turi </w:t>
      </w:r>
      <w:proofErr w:type="spellStart"/>
      <w:r w:rsidRPr="008A3237">
        <w:rPr>
          <w:spacing w:val="-1"/>
          <w:szCs w:val="24"/>
        </w:rPr>
        <w:t>PinkVerify</w:t>
      </w:r>
      <w:proofErr w:type="spellEnd"/>
      <w:r w:rsidRPr="008A3237">
        <w:rPr>
          <w:spacing w:val="-1"/>
          <w:szCs w:val="24"/>
        </w:rPr>
        <w:t>™</w:t>
      </w:r>
      <w:r w:rsidRPr="008A3237">
        <w:rPr>
          <w:spacing w:val="30"/>
          <w:szCs w:val="24"/>
        </w:rPr>
        <w:t xml:space="preserve"> </w:t>
      </w:r>
      <w:proofErr w:type="spellStart"/>
      <w:r w:rsidRPr="008A3237">
        <w:rPr>
          <w:spacing w:val="-1"/>
          <w:szCs w:val="24"/>
        </w:rPr>
        <w:t>sertifikaciją</w:t>
      </w:r>
      <w:proofErr w:type="spellEnd"/>
      <w:r w:rsidRPr="008A3237">
        <w:rPr>
          <w:spacing w:val="-1"/>
          <w:szCs w:val="24"/>
        </w:rPr>
        <w:t>,</w:t>
      </w:r>
      <w:r w:rsidRPr="008A3237">
        <w:rPr>
          <w:spacing w:val="40"/>
          <w:szCs w:val="24"/>
        </w:rPr>
        <w:t xml:space="preserve"> </w:t>
      </w:r>
      <w:r w:rsidRPr="008A3237">
        <w:rPr>
          <w:szCs w:val="24"/>
        </w:rPr>
        <w:t>kuri</w:t>
      </w:r>
      <w:r w:rsidRPr="008A3237">
        <w:rPr>
          <w:spacing w:val="-1"/>
          <w:szCs w:val="24"/>
        </w:rPr>
        <w:t xml:space="preserve"> atitinka</w:t>
      </w:r>
      <w:r w:rsidRPr="008A3237">
        <w:rPr>
          <w:spacing w:val="39"/>
          <w:szCs w:val="24"/>
        </w:rPr>
        <w:t xml:space="preserve"> </w:t>
      </w:r>
      <w:r w:rsidRPr="008A3237">
        <w:rPr>
          <w:szCs w:val="24"/>
        </w:rPr>
        <w:t xml:space="preserve">visus </w:t>
      </w:r>
      <w:r w:rsidRPr="008A3237">
        <w:rPr>
          <w:spacing w:val="-1"/>
          <w:szCs w:val="24"/>
        </w:rPr>
        <w:t>apibrėžtus</w:t>
      </w:r>
      <w:r w:rsidRPr="008A3237">
        <w:rPr>
          <w:spacing w:val="41"/>
          <w:szCs w:val="24"/>
        </w:rPr>
        <w:t xml:space="preserve"> </w:t>
      </w:r>
      <w:r w:rsidRPr="008A3237">
        <w:rPr>
          <w:spacing w:val="-1"/>
          <w:szCs w:val="24"/>
        </w:rPr>
        <w:t>privalomus</w:t>
      </w:r>
      <w:r w:rsidRPr="008A3237">
        <w:rPr>
          <w:szCs w:val="24"/>
        </w:rPr>
        <w:t xml:space="preserve"> ir </w:t>
      </w:r>
      <w:r w:rsidRPr="008A3237">
        <w:rPr>
          <w:spacing w:val="-1"/>
          <w:szCs w:val="24"/>
        </w:rPr>
        <w:t>integravimo</w:t>
      </w:r>
      <w:r w:rsidRPr="008A3237">
        <w:rPr>
          <w:szCs w:val="24"/>
        </w:rPr>
        <w:t xml:space="preserve"> </w:t>
      </w:r>
      <w:r w:rsidRPr="008A3237">
        <w:rPr>
          <w:spacing w:val="-1"/>
          <w:szCs w:val="24"/>
        </w:rPr>
        <w:t>kriterijus</w:t>
      </w:r>
      <w:r w:rsidRPr="008A3237">
        <w:rPr>
          <w:szCs w:val="24"/>
        </w:rPr>
        <w:t xml:space="preserve"> 13</w:t>
      </w:r>
      <w:r w:rsidRPr="008A3237">
        <w:rPr>
          <w:spacing w:val="47"/>
          <w:szCs w:val="24"/>
        </w:rPr>
        <w:t xml:space="preserve"> </w:t>
      </w:r>
      <w:r w:rsidRPr="008A3237">
        <w:rPr>
          <w:spacing w:val="-1"/>
          <w:szCs w:val="24"/>
        </w:rPr>
        <w:t>(trylikai)</w:t>
      </w:r>
      <w:r w:rsidRPr="008A3237">
        <w:rPr>
          <w:spacing w:val="4"/>
          <w:szCs w:val="24"/>
        </w:rPr>
        <w:t xml:space="preserve"> </w:t>
      </w:r>
      <w:r w:rsidRPr="008A3237">
        <w:rPr>
          <w:spacing w:val="-2"/>
          <w:szCs w:val="24"/>
        </w:rPr>
        <w:t>IT</w:t>
      </w:r>
      <w:r w:rsidRPr="008A3237">
        <w:rPr>
          <w:szCs w:val="24"/>
        </w:rPr>
        <w:t xml:space="preserve"> </w:t>
      </w:r>
      <w:r w:rsidRPr="008A3237">
        <w:rPr>
          <w:spacing w:val="-1"/>
          <w:szCs w:val="24"/>
        </w:rPr>
        <w:t>paslaugų</w:t>
      </w:r>
      <w:r w:rsidRPr="008A3237">
        <w:rPr>
          <w:szCs w:val="24"/>
        </w:rPr>
        <w:t xml:space="preserve"> valdymo </w:t>
      </w:r>
      <w:r w:rsidRPr="008A3237">
        <w:rPr>
          <w:spacing w:val="-1"/>
          <w:szCs w:val="24"/>
        </w:rPr>
        <w:t xml:space="preserve">procesų: </w:t>
      </w:r>
      <w:hyperlink r:id="rId15" w:history="1">
        <w:r w:rsidRPr="008A3237">
          <w:rPr>
            <w:color w:val="0563C1"/>
            <w:spacing w:val="-1"/>
            <w:szCs w:val="24"/>
            <w:u w:val="single"/>
          </w:rPr>
          <w:t>https://pinkelephant.co.uk/technology/products/ivanti-implementation-support/</w:t>
        </w:r>
      </w:hyperlink>
      <w:r w:rsidRPr="008A3237">
        <w:rPr>
          <w:spacing w:val="-1"/>
          <w:szCs w:val="24"/>
        </w:rPr>
        <w:t xml:space="preserve"> .</w:t>
      </w:r>
    </w:p>
    <w:p w14:paraId="1F1E0DEF" w14:textId="77777777" w:rsidR="008A3237" w:rsidRPr="008A3237" w:rsidRDefault="008A3237" w:rsidP="008A3237">
      <w:pPr>
        <w:numPr>
          <w:ilvl w:val="1"/>
          <w:numId w:val="3"/>
        </w:numPr>
        <w:tabs>
          <w:tab w:val="left" w:pos="851"/>
          <w:tab w:val="left" w:pos="993"/>
        </w:tabs>
        <w:spacing w:line="360" w:lineRule="auto"/>
        <w:ind w:left="0" w:firstLine="567"/>
        <w:rPr>
          <w:szCs w:val="24"/>
          <w:lang w:eastAsia="lt-LT"/>
        </w:rPr>
      </w:pPr>
      <w:r w:rsidRPr="008A3237">
        <w:rPr>
          <w:rFonts w:eastAsia="Calibri"/>
          <w:spacing w:val="-3"/>
          <w:szCs w:val="24"/>
        </w:rPr>
        <w:t>G</w:t>
      </w:r>
      <w:r w:rsidRPr="008A3237">
        <w:rPr>
          <w:rFonts w:eastAsia="Calibri"/>
          <w:spacing w:val="-1"/>
          <w:szCs w:val="24"/>
        </w:rPr>
        <w:t>alutinių</w:t>
      </w:r>
      <w:r w:rsidRPr="008A3237">
        <w:rPr>
          <w:rFonts w:eastAsia="Calibri"/>
          <w:spacing w:val="45"/>
          <w:szCs w:val="24"/>
        </w:rPr>
        <w:t xml:space="preserve"> </w:t>
      </w:r>
      <w:r w:rsidRPr="008A3237">
        <w:rPr>
          <w:rFonts w:eastAsia="Calibri"/>
          <w:spacing w:val="-1"/>
          <w:szCs w:val="24"/>
        </w:rPr>
        <w:t>naudotojų</w:t>
      </w:r>
      <w:r w:rsidRPr="008A3237">
        <w:rPr>
          <w:rFonts w:eastAsia="Calibri"/>
          <w:szCs w:val="24"/>
        </w:rPr>
        <w:t xml:space="preserve"> </w:t>
      </w:r>
      <w:r w:rsidRPr="008A3237">
        <w:rPr>
          <w:rFonts w:eastAsia="Calibri"/>
          <w:spacing w:val="-1"/>
          <w:szCs w:val="24"/>
        </w:rPr>
        <w:t>(aptarnaujamų</w:t>
      </w:r>
      <w:r w:rsidRPr="008A3237">
        <w:rPr>
          <w:rFonts w:eastAsia="Calibri"/>
          <w:spacing w:val="2"/>
          <w:szCs w:val="24"/>
        </w:rPr>
        <w:t xml:space="preserve"> </w:t>
      </w:r>
      <w:r w:rsidRPr="008A3237">
        <w:rPr>
          <w:rFonts w:eastAsia="Calibri"/>
          <w:spacing w:val="-1"/>
          <w:szCs w:val="24"/>
        </w:rPr>
        <w:t>naudotojų)</w:t>
      </w:r>
      <w:r w:rsidRPr="008A3237">
        <w:rPr>
          <w:rFonts w:eastAsia="Calibri"/>
          <w:szCs w:val="24"/>
        </w:rPr>
        <w:t xml:space="preserve"> </w:t>
      </w:r>
      <w:r w:rsidRPr="008A3237">
        <w:rPr>
          <w:rFonts w:eastAsia="Calibri"/>
          <w:spacing w:val="-1"/>
          <w:szCs w:val="24"/>
        </w:rPr>
        <w:t>skaičius</w:t>
      </w:r>
      <w:r w:rsidRPr="008A3237">
        <w:rPr>
          <w:rFonts w:eastAsia="Calibri"/>
          <w:spacing w:val="43"/>
          <w:szCs w:val="24"/>
        </w:rPr>
        <w:t xml:space="preserve"> </w:t>
      </w:r>
      <w:r w:rsidRPr="008A3237">
        <w:rPr>
          <w:rFonts w:eastAsia="Calibri"/>
          <w:spacing w:val="-2"/>
          <w:szCs w:val="24"/>
        </w:rPr>
        <w:t>yra</w:t>
      </w:r>
      <w:r w:rsidRPr="008A3237">
        <w:rPr>
          <w:rFonts w:eastAsia="Calibri"/>
          <w:spacing w:val="40"/>
          <w:szCs w:val="24"/>
        </w:rPr>
        <w:t xml:space="preserve"> </w:t>
      </w:r>
      <w:r w:rsidRPr="008A3237">
        <w:rPr>
          <w:rFonts w:eastAsia="Calibri"/>
          <w:spacing w:val="-1"/>
          <w:szCs w:val="24"/>
        </w:rPr>
        <w:t xml:space="preserve">neribojamas ir atskiros licencijos jiems </w:t>
      </w:r>
      <w:r w:rsidRPr="008A3237">
        <w:rPr>
          <w:szCs w:val="24"/>
        </w:rPr>
        <w:t>nereikalingos</w:t>
      </w:r>
      <w:r w:rsidRPr="008A3237">
        <w:rPr>
          <w:rFonts w:eastAsia="Calibri"/>
          <w:spacing w:val="-1"/>
          <w:szCs w:val="24"/>
        </w:rPr>
        <w:t>. Licencijos yra taikomos tik specialistų (sprendėjų) darbui su IVANTI.</w:t>
      </w:r>
    </w:p>
    <w:p w14:paraId="5F094C22" w14:textId="77777777" w:rsidR="008A3237" w:rsidRPr="008A3237" w:rsidRDefault="008A3237" w:rsidP="008A3237">
      <w:pPr>
        <w:tabs>
          <w:tab w:val="left" w:pos="851"/>
          <w:tab w:val="left" w:pos="993"/>
        </w:tabs>
        <w:spacing w:line="360" w:lineRule="auto"/>
        <w:rPr>
          <w:szCs w:val="24"/>
          <w:lang w:eastAsia="lt-LT"/>
        </w:rPr>
      </w:pPr>
    </w:p>
    <w:p w14:paraId="02BAAB0B" w14:textId="77777777" w:rsidR="008A3237" w:rsidRPr="008A3237" w:rsidRDefault="008A3237" w:rsidP="008A3237">
      <w:pPr>
        <w:numPr>
          <w:ilvl w:val="0"/>
          <w:numId w:val="3"/>
        </w:numPr>
        <w:tabs>
          <w:tab w:val="left" w:pos="851"/>
        </w:tabs>
        <w:spacing w:line="360" w:lineRule="auto"/>
        <w:ind w:left="0" w:firstLine="567"/>
        <w:rPr>
          <w:szCs w:val="24"/>
        </w:rPr>
      </w:pPr>
      <w:r w:rsidRPr="008A3237">
        <w:rPr>
          <w:b/>
          <w:bCs/>
          <w:szCs w:val="24"/>
        </w:rPr>
        <w:t>Reikalavimai perkamoms licencijoms.</w:t>
      </w:r>
    </w:p>
    <w:p w14:paraId="4E406DAE" w14:textId="77777777" w:rsidR="008A3237" w:rsidRPr="008A3237" w:rsidRDefault="008A3237" w:rsidP="008A3237">
      <w:pPr>
        <w:numPr>
          <w:ilvl w:val="1"/>
          <w:numId w:val="3"/>
        </w:numPr>
        <w:tabs>
          <w:tab w:val="left" w:pos="851"/>
          <w:tab w:val="left" w:pos="993"/>
        </w:tabs>
        <w:spacing w:line="360" w:lineRule="auto"/>
        <w:ind w:left="567" w:hanging="567"/>
        <w:rPr>
          <w:szCs w:val="24"/>
          <w:lang w:eastAsia="lt-LT"/>
        </w:rPr>
      </w:pPr>
      <w:r w:rsidRPr="008A3237">
        <w:rPr>
          <w:szCs w:val="24"/>
        </w:rPr>
        <w:t>Tiekėjas</w:t>
      </w:r>
      <w:r w:rsidRPr="008A3237">
        <w:rPr>
          <w:szCs w:val="24"/>
          <w:lang w:eastAsia="lt-LT"/>
        </w:rPr>
        <w:t xml:space="preserve"> privalo NKSC vardu užregistruoti papildomai įsigyjamų (išplėstų) licencijų palaikymo paslaugas gamintojo nustatyta tvarka per </w:t>
      </w:r>
      <w:r w:rsidRPr="008A3237">
        <w:rPr>
          <w:szCs w:val="24"/>
          <w:lang w:val="en-US"/>
        </w:rPr>
        <w:t>10</w:t>
      </w:r>
      <w:r w:rsidRPr="008A3237">
        <w:rPr>
          <w:szCs w:val="24"/>
        </w:rPr>
        <w:t xml:space="preserve"> d. nuo sutarties sudarymo dienos</w:t>
      </w:r>
      <w:r w:rsidRPr="008A3237">
        <w:rPr>
          <w:szCs w:val="24"/>
          <w:lang w:eastAsia="lt-LT"/>
        </w:rPr>
        <w:t>,  registracijos duomenis perduoti NKSC</w:t>
      </w:r>
      <w:r w:rsidRPr="008A3237">
        <w:rPr>
          <w:szCs w:val="24"/>
        </w:rPr>
        <w:t>.</w:t>
      </w:r>
    </w:p>
    <w:p w14:paraId="18BC9E42" w14:textId="77777777" w:rsidR="008A3237" w:rsidRPr="008A3237" w:rsidRDefault="008A3237" w:rsidP="008A3237">
      <w:pPr>
        <w:numPr>
          <w:ilvl w:val="1"/>
          <w:numId w:val="3"/>
        </w:numPr>
        <w:tabs>
          <w:tab w:val="left" w:pos="851"/>
          <w:tab w:val="left" w:pos="993"/>
        </w:tabs>
        <w:spacing w:line="360" w:lineRule="auto"/>
        <w:ind w:left="567" w:hanging="567"/>
        <w:rPr>
          <w:szCs w:val="24"/>
          <w:lang w:eastAsia="lt-LT"/>
        </w:rPr>
      </w:pPr>
      <w:r w:rsidRPr="008A3237">
        <w:rPr>
          <w:szCs w:val="24"/>
          <w:lang w:eastAsia="lt-LT"/>
        </w:rPr>
        <w:t xml:space="preserve"> </w:t>
      </w:r>
      <w:r w:rsidRPr="008A3237">
        <w:rPr>
          <w:szCs w:val="24"/>
        </w:rPr>
        <w:t>Tiekėjas</w:t>
      </w:r>
      <w:r w:rsidRPr="008A3237">
        <w:rPr>
          <w:szCs w:val="24"/>
          <w:lang w:eastAsia="lt-LT"/>
        </w:rPr>
        <w:t xml:space="preserve"> įsipareigoja supažindinti NKSC atstovus su aktualia gamintojo papildomai įsigyjamų (išplėstų) licencijų sutartimi, taip pat nedelsiant informuoti NKSC atstovus atsiradus naujovėms ar pakeitimams gamintojo licencijų sutartyje (taisyklėse).</w:t>
      </w:r>
    </w:p>
    <w:p w14:paraId="170FFFA1" w14:textId="77777777" w:rsidR="008A3237" w:rsidRPr="008A3237" w:rsidRDefault="008A3237" w:rsidP="008A3237">
      <w:pPr>
        <w:numPr>
          <w:ilvl w:val="1"/>
          <w:numId w:val="3"/>
        </w:numPr>
        <w:tabs>
          <w:tab w:val="center" w:pos="1418"/>
          <w:tab w:val="left" w:pos="1701"/>
          <w:tab w:val="right" w:pos="8640"/>
          <w:tab w:val="right" w:pos="9638"/>
        </w:tabs>
        <w:spacing w:line="360" w:lineRule="auto"/>
        <w:ind w:left="567" w:hanging="567"/>
        <w:rPr>
          <w:rFonts w:eastAsia="Calibri"/>
          <w:szCs w:val="24"/>
        </w:rPr>
      </w:pPr>
      <w:r w:rsidRPr="008A3237">
        <w:rPr>
          <w:rFonts w:eastAsia="Calibri"/>
          <w:szCs w:val="24"/>
        </w:rPr>
        <w:t>Licencijoms turi būti suteikta gamintojo techninės priežiūros ir naujumo garantija.</w:t>
      </w:r>
    </w:p>
    <w:p w14:paraId="5BCE7910" w14:textId="77777777" w:rsidR="008A3237" w:rsidRPr="008A3237" w:rsidRDefault="008A3237" w:rsidP="008A3237">
      <w:pPr>
        <w:numPr>
          <w:ilvl w:val="1"/>
          <w:numId w:val="3"/>
        </w:numPr>
        <w:spacing w:line="360" w:lineRule="auto"/>
        <w:ind w:left="567" w:hanging="567"/>
        <w:rPr>
          <w:szCs w:val="24"/>
        </w:rPr>
      </w:pPr>
      <w:r w:rsidRPr="008A3237">
        <w:rPr>
          <w:szCs w:val="24"/>
        </w:rPr>
        <w:lastRenderedPageBreak/>
        <w:t>Gamintojo palaikymo paslauga įsigyjama 12 (dvylikai) mėnesių.</w:t>
      </w:r>
    </w:p>
    <w:p w14:paraId="1B072FC9" w14:textId="77777777" w:rsidR="008A3237" w:rsidRPr="008A3237" w:rsidRDefault="008A3237" w:rsidP="008A3237">
      <w:pPr>
        <w:numPr>
          <w:ilvl w:val="1"/>
          <w:numId w:val="3"/>
        </w:numPr>
        <w:tabs>
          <w:tab w:val="left" w:pos="851"/>
          <w:tab w:val="left" w:pos="993"/>
        </w:tabs>
        <w:spacing w:line="360" w:lineRule="auto"/>
        <w:ind w:left="567" w:hanging="567"/>
        <w:rPr>
          <w:szCs w:val="24"/>
        </w:rPr>
      </w:pPr>
      <w:r w:rsidRPr="008A3237">
        <w:rPr>
          <w:szCs w:val="24"/>
        </w:rPr>
        <w:t>Licencijų gamintojo techninė priežiūra turi apimti šias paslaugas:</w:t>
      </w:r>
    </w:p>
    <w:p w14:paraId="7DC0E4BE"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Teisę gauti naujas programinės įrangos versijas, patobulinimus,  pataisymus ir saugumo atnaujinimus.</w:t>
      </w:r>
    </w:p>
    <w:p w14:paraId="6C144C19"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Galimybę registruoti incidentus, paklausimus, bei funkcionalumo klaidas tiesiogiai gamintojui;</w:t>
      </w:r>
    </w:p>
    <w:p w14:paraId="61B85DAE" w14:textId="77777777" w:rsidR="008A3237" w:rsidRPr="008A3237" w:rsidRDefault="008A3237" w:rsidP="008A3237">
      <w:pPr>
        <w:numPr>
          <w:ilvl w:val="2"/>
          <w:numId w:val="3"/>
        </w:numPr>
        <w:tabs>
          <w:tab w:val="center" w:pos="142"/>
          <w:tab w:val="center" w:pos="4819"/>
          <w:tab w:val="right" w:pos="8640"/>
          <w:tab w:val="right" w:pos="9638"/>
        </w:tabs>
        <w:spacing w:line="360" w:lineRule="auto"/>
        <w:ind w:left="567" w:hanging="567"/>
        <w:rPr>
          <w:szCs w:val="24"/>
          <w:lang w:eastAsia="lt-LT"/>
        </w:rPr>
      </w:pPr>
      <w:r w:rsidRPr="008A3237">
        <w:rPr>
          <w:szCs w:val="24"/>
          <w:lang w:eastAsia="lt-LT"/>
        </w:rPr>
        <w:t>Tiekėjas įsipareigoja:</w:t>
      </w:r>
    </w:p>
    <w:p w14:paraId="78EECD20"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Užregistruoti palaikymo paslaugas Perkančiosios organizacijos vardu gamintojo platformoje;</w:t>
      </w:r>
    </w:p>
    <w:p w14:paraId="7C403A8F"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Perdavimo momentu pateikti registracijos patvirtinimus ir palaikymo galiojimo dokumentus;</w:t>
      </w:r>
    </w:p>
    <w:p w14:paraId="47137C8E"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 xml:space="preserve">Užregistruotas gamintojo palaikymas turi būti matomas PO paskyroje </w:t>
      </w:r>
      <w:proofErr w:type="spellStart"/>
      <w:r w:rsidRPr="008A3237">
        <w:rPr>
          <w:szCs w:val="24"/>
          <w:lang w:eastAsia="lt-LT"/>
        </w:rPr>
        <w:t>Ivanti</w:t>
      </w:r>
      <w:proofErr w:type="spellEnd"/>
      <w:r w:rsidRPr="008A3237">
        <w:rPr>
          <w:szCs w:val="24"/>
          <w:lang w:eastAsia="lt-LT"/>
        </w:rPr>
        <w:t xml:space="preserve"> Portale </w:t>
      </w:r>
      <w:hyperlink r:id="rId16" w:history="1">
        <w:r w:rsidRPr="008A3237">
          <w:rPr>
            <w:color w:val="0563C1"/>
            <w:szCs w:val="24"/>
            <w:u w:val="single"/>
            <w:lang w:eastAsia="lt-LT"/>
          </w:rPr>
          <w:t>https://portal.ivanti.com</w:t>
        </w:r>
      </w:hyperlink>
      <w:r w:rsidRPr="008A3237">
        <w:rPr>
          <w:szCs w:val="24"/>
          <w:lang w:eastAsia="lt-LT"/>
        </w:rPr>
        <w:t xml:space="preserve"> </w:t>
      </w:r>
    </w:p>
    <w:p w14:paraId="519E301F"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Informuoti Perkančiąją organizaciją apie bet kokius gamintojo licencijų ar palaikymo politikos pokyčius;</w:t>
      </w:r>
    </w:p>
    <w:p w14:paraId="3CA8FB9D" w14:textId="77777777" w:rsidR="008A3237" w:rsidRPr="008A3237" w:rsidRDefault="008A3237" w:rsidP="008A3237">
      <w:pPr>
        <w:numPr>
          <w:ilvl w:val="2"/>
          <w:numId w:val="3"/>
        </w:numPr>
        <w:tabs>
          <w:tab w:val="center" w:pos="142"/>
          <w:tab w:val="left" w:pos="284"/>
          <w:tab w:val="center" w:pos="4819"/>
          <w:tab w:val="right" w:pos="8640"/>
          <w:tab w:val="right" w:pos="9638"/>
        </w:tabs>
        <w:spacing w:line="360" w:lineRule="auto"/>
        <w:ind w:left="567" w:hanging="567"/>
        <w:rPr>
          <w:szCs w:val="24"/>
          <w:lang w:eastAsia="lt-LT"/>
        </w:rPr>
      </w:pPr>
      <w:r w:rsidRPr="008A3237">
        <w:rPr>
          <w:szCs w:val="24"/>
          <w:lang w:eastAsia="lt-LT"/>
        </w:rPr>
        <w:t xml:space="preserve">Supažindinti su aktualiomis </w:t>
      </w:r>
      <w:proofErr w:type="spellStart"/>
      <w:r w:rsidRPr="008A3237">
        <w:rPr>
          <w:szCs w:val="24"/>
          <w:lang w:eastAsia="lt-LT"/>
        </w:rPr>
        <w:t>Ivanti</w:t>
      </w:r>
      <w:proofErr w:type="spellEnd"/>
      <w:r w:rsidRPr="008A3237">
        <w:rPr>
          <w:szCs w:val="24"/>
          <w:lang w:eastAsia="lt-LT"/>
        </w:rPr>
        <w:t xml:space="preserve"> naudojimo taisyklėmis, licencijavimo modeliu ir atsakomybėmis.</w:t>
      </w:r>
    </w:p>
    <w:p w14:paraId="39C99485" w14:textId="77777777" w:rsidR="008A3237" w:rsidRPr="008A3237" w:rsidRDefault="008A3237" w:rsidP="008A3237">
      <w:pPr>
        <w:numPr>
          <w:ilvl w:val="2"/>
          <w:numId w:val="3"/>
        </w:numPr>
        <w:tabs>
          <w:tab w:val="center" w:pos="284"/>
          <w:tab w:val="left" w:pos="1701"/>
          <w:tab w:val="right" w:pos="8640"/>
          <w:tab w:val="right" w:pos="9638"/>
        </w:tabs>
        <w:spacing w:line="360" w:lineRule="auto"/>
        <w:ind w:left="567" w:hanging="567"/>
        <w:rPr>
          <w:szCs w:val="24"/>
          <w:lang w:eastAsia="lt-LT"/>
        </w:rPr>
      </w:pPr>
      <w:r w:rsidRPr="008A3237">
        <w:rPr>
          <w:szCs w:val="24"/>
          <w:lang w:eastAsia="lt-LT"/>
        </w:rPr>
        <w:t xml:space="preserve">Galimybę naudotis gamintojo portale „IVANTI </w:t>
      </w:r>
      <w:proofErr w:type="spellStart"/>
      <w:r w:rsidRPr="008A3237">
        <w:rPr>
          <w:szCs w:val="24"/>
          <w:lang w:eastAsia="lt-LT"/>
        </w:rPr>
        <w:t>Community</w:t>
      </w:r>
      <w:proofErr w:type="spellEnd"/>
      <w:r w:rsidRPr="008A3237">
        <w:rPr>
          <w:szCs w:val="24"/>
          <w:lang w:eastAsia="lt-LT"/>
        </w:rPr>
        <w:t>“ pateikiama informacija apie IVANTI.</w:t>
      </w:r>
    </w:p>
    <w:p w14:paraId="05538E08" w14:textId="77777777" w:rsidR="008A3237" w:rsidRPr="008A3237" w:rsidRDefault="008A3237" w:rsidP="008A3237">
      <w:pPr>
        <w:numPr>
          <w:ilvl w:val="0"/>
          <w:numId w:val="3"/>
        </w:numPr>
        <w:tabs>
          <w:tab w:val="left" w:pos="851"/>
          <w:tab w:val="left" w:pos="993"/>
        </w:tabs>
        <w:spacing w:line="360" w:lineRule="auto"/>
        <w:ind w:left="0" w:firstLine="567"/>
        <w:rPr>
          <w:szCs w:val="24"/>
        </w:rPr>
      </w:pPr>
      <w:r w:rsidRPr="008A3237">
        <w:rPr>
          <w:b/>
          <w:bCs/>
          <w:szCs w:val="24"/>
          <w:lang w:eastAsia="lt-LT"/>
        </w:rPr>
        <w:t>Reikalavimai tiekėjui</w:t>
      </w:r>
      <w:r w:rsidRPr="008A3237">
        <w:rPr>
          <w:szCs w:val="24"/>
          <w:lang w:eastAsia="lt-LT"/>
        </w:rPr>
        <w:t xml:space="preserve">. </w:t>
      </w:r>
      <w:r w:rsidRPr="008A3237">
        <w:rPr>
          <w:szCs w:val="24"/>
        </w:rPr>
        <w:t>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p>
    <w:p w14:paraId="717C88F8" w14:textId="77777777" w:rsidR="008A3237" w:rsidRPr="008A3237" w:rsidRDefault="008A3237" w:rsidP="008A3237">
      <w:pPr>
        <w:numPr>
          <w:ilvl w:val="0"/>
          <w:numId w:val="3"/>
        </w:numPr>
        <w:tabs>
          <w:tab w:val="left" w:pos="851"/>
        </w:tabs>
        <w:autoSpaceDE w:val="0"/>
        <w:autoSpaceDN w:val="0"/>
        <w:adjustRightInd w:val="0"/>
        <w:spacing w:line="360" w:lineRule="auto"/>
        <w:ind w:left="0" w:firstLine="567"/>
        <w:rPr>
          <w:rFonts w:eastAsia="Calibri"/>
          <w:szCs w:val="24"/>
        </w:rPr>
      </w:pPr>
      <w:r w:rsidRPr="008A3237">
        <w:rPr>
          <w:b/>
          <w:szCs w:val="24"/>
        </w:rPr>
        <w:t>Konfidencialumo reikalavimai.</w:t>
      </w:r>
      <w:r w:rsidRPr="008A3237">
        <w:rPr>
          <w:rFonts w:eastAsia="Calibri"/>
          <w:szCs w:val="24"/>
        </w:rPr>
        <w:t xml:space="preserve"> Paslaugų teikėjas privalo laikytis konfidencialumo įsipareigojimų – neatskleisti tretiesiems asmenims jokios informacijos, gautos vykdant Paslaugų pirkimo sutartį (toliau – Sutartis) ar jo sukurtos teikiant Paslaugas, išskyrus tiek, kiek tai reikalinga Sutarties vykdymui, o taip pat nenaudoti konfidencialios informacijos asmeniniams ar trečiųjų asmenų poreikiams. Visa NKSC Paslaugų teikėjui suteikta ar jo paties įgyta su Paslaugų teikimu susijusi, informacija yra laikoma konfidencialia, nebent NKSC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1CEA856" w14:textId="77777777" w:rsidR="00C80012" w:rsidRPr="003375C1" w:rsidRDefault="00C80012" w:rsidP="00C80012">
      <w:pPr>
        <w:rPr>
          <w:b/>
          <w:szCs w:val="24"/>
          <w:lang w:eastAsia="ar-SA"/>
        </w:rPr>
      </w:pPr>
    </w:p>
    <w:sectPr w:rsidR="00C80012" w:rsidRPr="003375C1" w:rsidSect="00A10867">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90CC" w14:textId="77777777" w:rsidR="00FD5828" w:rsidRDefault="00FD5828">
      <w:pPr>
        <w:rPr>
          <w:kern w:val="2"/>
          <w:sz w:val="22"/>
          <w:szCs w:val="22"/>
          <w:lang w:val="en-US"/>
        </w:rPr>
      </w:pPr>
      <w:r>
        <w:rPr>
          <w:kern w:val="2"/>
          <w:sz w:val="22"/>
          <w:szCs w:val="22"/>
          <w:lang w:val="en-US"/>
        </w:rPr>
        <w:separator/>
      </w:r>
    </w:p>
  </w:endnote>
  <w:endnote w:type="continuationSeparator" w:id="0">
    <w:p w14:paraId="2E18C67B" w14:textId="77777777" w:rsidR="00FD5828" w:rsidRDefault="00FD5828">
      <w:pPr>
        <w:rPr>
          <w:kern w:val="2"/>
          <w:sz w:val="22"/>
          <w:szCs w:val="22"/>
          <w:lang w:val="en-US"/>
        </w:rPr>
      </w:pPr>
      <w:r>
        <w:rPr>
          <w:kern w:val="2"/>
          <w:sz w:val="22"/>
          <w:szCs w:val="22"/>
          <w:lang w:val="en-US"/>
        </w:rPr>
        <w:continuationSeparator/>
      </w:r>
    </w:p>
  </w:endnote>
  <w:endnote w:type="continuationNotice" w:id="1">
    <w:p w14:paraId="4E0F1887" w14:textId="77777777" w:rsidR="00FD5828" w:rsidRDefault="00FD58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E34A14" w:rsidRDefault="00E34A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E34A14" w:rsidRDefault="00E34A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E34A14" w:rsidRDefault="00E34A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3FC1" w14:textId="77777777" w:rsidR="00FD5828" w:rsidRDefault="00FD5828">
      <w:pPr>
        <w:rPr>
          <w:kern w:val="2"/>
          <w:sz w:val="22"/>
          <w:szCs w:val="22"/>
          <w:lang w:val="en-US"/>
        </w:rPr>
      </w:pPr>
      <w:r>
        <w:rPr>
          <w:kern w:val="2"/>
          <w:sz w:val="22"/>
          <w:szCs w:val="22"/>
          <w:lang w:val="en-US"/>
        </w:rPr>
        <w:separator/>
      </w:r>
    </w:p>
  </w:footnote>
  <w:footnote w:type="continuationSeparator" w:id="0">
    <w:p w14:paraId="200E1658" w14:textId="77777777" w:rsidR="00FD5828" w:rsidRDefault="00FD5828">
      <w:pPr>
        <w:rPr>
          <w:kern w:val="2"/>
          <w:sz w:val="22"/>
          <w:szCs w:val="22"/>
          <w:lang w:val="en-US"/>
        </w:rPr>
      </w:pPr>
      <w:r>
        <w:rPr>
          <w:kern w:val="2"/>
          <w:sz w:val="22"/>
          <w:szCs w:val="22"/>
          <w:lang w:val="en-US"/>
        </w:rPr>
        <w:continuationSeparator/>
      </w:r>
    </w:p>
  </w:footnote>
  <w:footnote w:type="continuationNotice" w:id="1">
    <w:p w14:paraId="4667E561" w14:textId="77777777" w:rsidR="00FD5828" w:rsidRDefault="00FD5828">
      <w:pPr>
        <w:rPr>
          <w:kern w:val="2"/>
          <w:sz w:val="22"/>
          <w:szCs w:val="22"/>
          <w:lang w:val="en-US"/>
        </w:rPr>
      </w:pPr>
    </w:p>
  </w:footnote>
  <w:footnote w:id="2">
    <w:p w14:paraId="66E2C332" w14:textId="77777777" w:rsidR="00E34A14" w:rsidRDefault="00E34A14"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E34A14" w:rsidRPr="00320F61" w:rsidRDefault="00E34A14"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E34A14" w:rsidRPr="000B3F84" w:rsidRDefault="00E34A14"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E34A14" w:rsidRPr="000B3F84" w:rsidRDefault="00E34A14"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E34A14" w:rsidRDefault="00E34A14">
    <w:pPr>
      <w:tabs>
        <w:tab w:val="center" w:pos="4680"/>
        <w:tab w:val="right" w:pos="9360"/>
      </w:tabs>
      <w:spacing w:after="160" w:line="259" w:lineRule="auto"/>
      <w:rPr>
        <w:kern w:val="2"/>
        <w:sz w:val="22"/>
        <w:szCs w:val="22"/>
        <w:lang w:val="en-US"/>
      </w:rPr>
    </w:pPr>
  </w:p>
  <w:p w14:paraId="65E93DF9" w14:textId="77777777" w:rsidR="00E34A14" w:rsidRDefault="00E34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676BA74E" w:rsidR="00E34A14" w:rsidRPr="00A10867" w:rsidRDefault="00E34A14" w:rsidP="00A10867">
    <w:pPr>
      <w:tabs>
        <w:tab w:val="center" w:pos="4819"/>
        <w:tab w:val="right" w:pos="9638"/>
      </w:tabs>
      <w:jc w:val="center"/>
    </w:pPr>
    <w:r>
      <w:fldChar w:fldCharType="begin"/>
    </w:r>
    <w:r>
      <w:instrText>PAGE   \* MERGEFORMAT</w:instrText>
    </w:r>
    <w:r>
      <w:fldChar w:fldCharType="separate"/>
    </w:r>
    <w:r w:rsidR="003E4BCE">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E34A14" w:rsidRDefault="00E34A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548410">
    <w:abstractNumId w:val="2"/>
  </w:num>
  <w:num w:numId="2" w16cid:durableId="13638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414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65437"/>
    <w:rsid w:val="00082B82"/>
    <w:rsid w:val="00084AB6"/>
    <w:rsid w:val="000866EC"/>
    <w:rsid w:val="00095E35"/>
    <w:rsid w:val="00097198"/>
    <w:rsid w:val="00097D17"/>
    <w:rsid w:val="000A05A2"/>
    <w:rsid w:val="000A13BB"/>
    <w:rsid w:val="000B0B12"/>
    <w:rsid w:val="000B1296"/>
    <w:rsid w:val="000B1614"/>
    <w:rsid w:val="000B53E2"/>
    <w:rsid w:val="000B6D09"/>
    <w:rsid w:val="000B7DC7"/>
    <w:rsid w:val="000C25AE"/>
    <w:rsid w:val="000C5C08"/>
    <w:rsid w:val="000C6007"/>
    <w:rsid w:val="000D0376"/>
    <w:rsid w:val="000D4270"/>
    <w:rsid w:val="000D4C99"/>
    <w:rsid w:val="000D54F7"/>
    <w:rsid w:val="000D69C9"/>
    <w:rsid w:val="000F0F1B"/>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0F7E"/>
    <w:rsid w:val="001F7654"/>
    <w:rsid w:val="00206E07"/>
    <w:rsid w:val="00224D31"/>
    <w:rsid w:val="00226AAE"/>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3017EF"/>
    <w:rsid w:val="003069AF"/>
    <w:rsid w:val="00310E2E"/>
    <w:rsid w:val="003125CD"/>
    <w:rsid w:val="00312C68"/>
    <w:rsid w:val="00314F60"/>
    <w:rsid w:val="00315F1C"/>
    <w:rsid w:val="00321C72"/>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4BCE"/>
    <w:rsid w:val="003E5A11"/>
    <w:rsid w:val="003E680B"/>
    <w:rsid w:val="004079AD"/>
    <w:rsid w:val="00421E4A"/>
    <w:rsid w:val="00421EEB"/>
    <w:rsid w:val="004223B8"/>
    <w:rsid w:val="004229E9"/>
    <w:rsid w:val="0042632F"/>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500CB6"/>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7E04"/>
    <w:rsid w:val="006163B8"/>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56E2"/>
    <w:rsid w:val="006C6C25"/>
    <w:rsid w:val="006D04D3"/>
    <w:rsid w:val="006D2C3C"/>
    <w:rsid w:val="006D2D38"/>
    <w:rsid w:val="006D3EA5"/>
    <w:rsid w:val="006D5B38"/>
    <w:rsid w:val="006E3E85"/>
    <w:rsid w:val="006E54D2"/>
    <w:rsid w:val="007059A1"/>
    <w:rsid w:val="007101FA"/>
    <w:rsid w:val="007119F1"/>
    <w:rsid w:val="007226EC"/>
    <w:rsid w:val="00734CC4"/>
    <w:rsid w:val="007549DF"/>
    <w:rsid w:val="00754DDE"/>
    <w:rsid w:val="007563BA"/>
    <w:rsid w:val="00756724"/>
    <w:rsid w:val="007625D3"/>
    <w:rsid w:val="00772C65"/>
    <w:rsid w:val="00777738"/>
    <w:rsid w:val="00787CB3"/>
    <w:rsid w:val="00793CAC"/>
    <w:rsid w:val="00796E19"/>
    <w:rsid w:val="007A254D"/>
    <w:rsid w:val="007A2639"/>
    <w:rsid w:val="007B2007"/>
    <w:rsid w:val="007B60F4"/>
    <w:rsid w:val="007B6E9F"/>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42893"/>
    <w:rsid w:val="00852A5C"/>
    <w:rsid w:val="008567FE"/>
    <w:rsid w:val="0085703D"/>
    <w:rsid w:val="008600FF"/>
    <w:rsid w:val="008617DB"/>
    <w:rsid w:val="00862840"/>
    <w:rsid w:val="00863BDC"/>
    <w:rsid w:val="00863CCF"/>
    <w:rsid w:val="00867584"/>
    <w:rsid w:val="00870ABD"/>
    <w:rsid w:val="00873127"/>
    <w:rsid w:val="00877F29"/>
    <w:rsid w:val="00887496"/>
    <w:rsid w:val="008923DF"/>
    <w:rsid w:val="00894557"/>
    <w:rsid w:val="00894843"/>
    <w:rsid w:val="008959CD"/>
    <w:rsid w:val="00896F54"/>
    <w:rsid w:val="0089781B"/>
    <w:rsid w:val="008A045E"/>
    <w:rsid w:val="008A09F9"/>
    <w:rsid w:val="008A3237"/>
    <w:rsid w:val="008B0998"/>
    <w:rsid w:val="008B1CA9"/>
    <w:rsid w:val="008B3350"/>
    <w:rsid w:val="008B6E53"/>
    <w:rsid w:val="008B7D7D"/>
    <w:rsid w:val="008C23EC"/>
    <w:rsid w:val="008C7E52"/>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766DA"/>
    <w:rsid w:val="00980ECA"/>
    <w:rsid w:val="00981469"/>
    <w:rsid w:val="009845AE"/>
    <w:rsid w:val="00990C06"/>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353E4"/>
    <w:rsid w:val="00A4222C"/>
    <w:rsid w:val="00A45B32"/>
    <w:rsid w:val="00A4669A"/>
    <w:rsid w:val="00A512C5"/>
    <w:rsid w:val="00A5380B"/>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E1B50"/>
    <w:rsid w:val="00AF09AB"/>
    <w:rsid w:val="00B006DA"/>
    <w:rsid w:val="00B02F5C"/>
    <w:rsid w:val="00B05E53"/>
    <w:rsid w:val="00B1047D"/>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961"/>
    <w:rsid w:val="00C56C81"/>
    <w:rsid w:val="00C60525"/>
    <w:rsid w:val="00C63BA1"/>
    <w:rsid w:val="00C741AD"/>
    <w:rsid w:val="00C80012"/>
    <w:rsid w:val="00C87A09"/>
    <w:rsid w:val="00CA0080"/>
    <w:rsid w:val="00CB2F46"/>
    <w:rsid w:val="00CB36E1"/>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4B8F"/>
    <w:rsid w:val="00D769BA"/>
    <w:rsid w:val="00D93761"/>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34A14"/>
    <w:rsid w:val="00E43068"/>
    <w:rsid w:val="00E4792B"/>
    <w:rsid w:val="00E50338"/>
    <w:rsid w:val="00E550D6"/>
    <w:rsid w:val="00E66934"/>
    <w:rsid w:val="00E66B32"/>
    <w:rsid w:val="00E67183"/>
    <w:rsid w:val="00E773CA"/>
    <w:rsid w:val="00E85654"/>
    <w:rsid w:val="00E90E68"/>
    <w:rsid w:val="00E91938"/>
    <w:rsid w:val="00EA2457"/>
    <w:rsid w:val="00EA7201"/>
    <w:rsid w:val="00EC3A5E"/>
    <w:rsid w:val="00EC7689"/>
    <w:rsid w:val="00ED029A"/>
    <w:rsid w:val="00ED0E2A"/>
    <w:rsid w:val="00ED1A00"/>
    <w:rsid w:val="00ED490E"/>
    <w:rsid w:val="00ED64F6"/>
    <w:rsid w:val="00ED739C"/>
    <w:rsid w:val="00EE5D80"/>
    <w:rsid w:val="00EF33BA"/>
    <w:rsid w:val="00EF6197"/>
    <w:rsid w:val="00EF6616"/>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39CF"/>
    <w:rsid w:val="00FC753E"/>
    <w:rsid w:val="00FD5828"/>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93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ortal.ivant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ivant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vinas.andriukaitis@nks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nkelephant.co.uk/technology/products/ivanti-implementation-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vanti.com/products/ivanti-neurons-its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4.xml><?xml version="1.0" encoding="utf-8"?>
<ds:datastoreItem xmlns:ds="http://schemas.openxmlformats.org/officeDocument/2006/customXml" ds:itemID="{8CCD02E1-1F42-407C-A8D4-A69211B1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4632</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30974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4</cp:revision>
  <dcterms:created xsi:type="dcterms:W3CDTF">2026-04-13T06:18:00Z</dcterms:created>
  <dcterms:modified xsi:type="dcterms:W3CDTF">2026-04-20T08:24:00Z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