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602F9859" w14:textId="1FAC3A85" w:rsidR="007206AF" w:rsidRPr="00603092" w:rsidRDefault="007206AF" w:rsidP="00720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 xml:space="preserve"> </w:t>
      </w:r>
      <w:r w:rsidR="00603092" w:rsidRPr="00603092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  <w:t>Aukšto dažnio intravaskulinė ultragarsinė vaizdinė diagnostikos sistema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603092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603092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603092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D5E9FE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sausio 21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603092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603092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603092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D389D"/>
    <w:rsid w:val="00557AC3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D6A5F"/>
    <w:rsid w:val="00B81FDE"/>
    <w:rsid w:val="00C2170F"/>
    <w:rsid w:val="00CF4412"/>
    <w:rsid w:val="00D2072B"/>
    <w:rsid w:val="00E1170A"/>
    <w:rsid w:val="00E1638B"/>
    <w:rsid w:val="00E62343"/>
    <w:rsid w:val="00E84E52"/>
    <w:rsid w:val="00EE0239"/>
    <w:rsid w:val="00EF2703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Jurininku ligoninine</cp:lastModifiedBy>
  <cp:revision>3</cp:revision>
  <dcterms:created xsi:type="dcterms:W3CDTF">2025-01-10T08:43:00Z</dcterms:created>
  <dcterms:modified xsi:type="dcterms:W3CDTF">2025-01-13T07:57:00Z</dcterms:modified>
</cp:coreProperties>
</file>