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584D" w14:textId="77777777" w:rsidR="00856BA5" w:rsidRPr="00856BA5" w:rsidRDefault="00856BA5" w:rsidP="00856BA5">
      <w:pPr>
        <w:keepNext/>
        <w:keepLines/>
        <w:spacing w:before="120"/>
        <w:ind w:left="5103"/>
        <w:jc w:val="right"/>
        <w:outlineLvl w:val="1"/>
        <w:rPr>
          <w:rFonts w:eastAsia="Calibri"/>
          <w:b/>
          <w:sz w:val="24"/>
          <w:szCs w:val="24"/>
          <w:lang w:eastAsia="lt-LT"/>
        </w:rPr>
      </w:pPr>
      <w:r w:rsidRPr="00856BA5">
        <w:rPr>
          <w:rFonts w:eastAsia="Calibri"/>
          <w:b/>
          <w:sz w:val="24"/>
          <w:szCs w:val="24"/>
          <w:lang w:eastAsia="lt-LT"/>
        </w:rPr>
        <w:t>Specialiųjų p</w:t>
      </w:r>
      <w:r w:rsidR="00204363" w:rsidRPr="00856BA5">
        <w:rPr>
          <w:rFonts w:eastAsia="Calibri"/>
          <w:b/>
          <w:sz w:val="24"/>
          <w:szCs w:val="24"/>
          <w:lang w:eastAsia="lt-LT"/>
        </w:rPr>
        <w:t>irkimo</w:t>
      </w:r>
      <w:r w:rsidR="005401E9" w:rsidRPr="00856BA5">
        <w:rPr>
          <w:rFonts w:eastAsia="Calibri"/>
          <w:b/>
          <w:sz w:val="24"/>
          <w:szCs w:val="24"/>
          <w:lang w:eastAsia="lt-LT"/>
        </w:rPr>
        <w:t xml:space="preserve"> sąlygų 3 priedas</w:t>
      </w:r>
      <w:r w:rsidR="00110168" w:rsidRPr="00856BA5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08CEA143" w14:textId="05EB9806" w:rsidR="005401E9" w:rsidRPr="00856BA5" w:rsidRDefault="00110168" w:rsidP="00856BA5">
      <w:pPr>
        <w:keepNext/>
        <w:keepLines/>
        <w:spacing w:before="120"/>
        <w:ind w:left="5103"/>
        <w:jc w:val="right"/>
        <w:outlineLvl w:val="1"/>
        <w:rPr>
          <w:rFonts w:eastAsia="Calibri"/>
          <w:b/>
          <w:sz w:val="24"/>
          <w:szCs w:val="24"/>
          <w:lang w:eastAsia="lt-LT"/>
        </w:rPr>
      </w:pPr>
      <w:r w:rsidRPr="00856BA5">
        <w:rPr>
          <w:rFonts w:eastAsia="Calibri"/>
          <w:b/>
          <w:sz w:val="24"/>
          <w:szCs w:val="24"/>
          <w:lang w:eastAsia="lt-LT"/>
        </w:rPr>
        <w:t>Techninė specifikacija</w:t>
      </w:r>
    </w:p>
    <w:p w14:paraId="7A0D3A70" w14:textId="77777777" w:rsidR="005401E9" w:rsidRDefault="005401E9" w:rsidP="00856BA5">
      <w:pPr>
        <w:suppressAutoHyphens/>
        <w:ind w:firstLine="284"/>
        <w:jc w:val="right"/>
        <w:rPr>
          <w:sz w:val="24"/>
          <w:szCs w:val="24"/>
        </w:rPr>
      </w:pPr>
    </w:p>
    <w:p w14:paraId="080EAEEF" w14:textId="77777777" w:rsidR="002237F1" w:rsidRDefault="002237F1" w:rsidP="00856BA5">
      <w:pPr>
        <w:suppressAutoHyphens/>
        <w:ind w:firstLine="284"/>
        <w:jc w:val="right"/>
        <w:rPr>
          <w:sz w:val="24"/>
          <w:szCs w:val="24"/>
        </w:rPr>
      </w:pPr>
    </w:p>
    <w:p w14:paraId="0FD8D78F" w14:textId="77777777" w:rsidR="002237F1" w:rsidRPr="00856BA5" w:rsidRDefault="002237F1" w:rsidP="00856BA5">
      <w:pPr>
        <w:suppressAutoHyphens/>
        <w:ind w:firstLine="284"/>
        <w:jc w:val="right"/>
        <w:rPr>
          <w:sz w:val="24"/>
          <w:szCs w:val="24"/>
        </w:rPr>
      </w:pPr>
    </w:p>
    <w:p w14:paraId="69B4D879" w14:textId="238DCD24" w:rsidR="002237F1" w:rsidRDefault="002237F1" w:rsidP="002237F1">
      <w:pPr>
        <w:pStyle w:val="Pagrindinistekstas2"/>
        <w:tabs>
          <w:tab w:val="left" w:pos="1134"/>
        </w:tabs>
        <w:spacing w:line="240" w:lineRule="auto"/>
        <w:jc w:val="center"/>
        <w:rPr>
          <w:b/>
          <w:szCs w:val="24"/>
          <w:lang w:val="lt-LT"/>
        </w:rPr>
      </w:pPr>
      <w:r w:rsidRPr="00973CE2">
        <w:rPr>
          <w:b/>
          <w:caps/>
          <w:szCs w:val="24"/>
          <w:lang w:val="lt-LT"/>
        </w:rPr>
        <w:t xml:space="preserve">Šiaulių r. Kuršėnų lopšelio </w:t>
      </w:r>
      <w:r w:rsidR="0012496E">
        <w:rPr>
          <w:b/>
          <w:caps/>
          <w:szCs w:val="24"/>
          <w:lang w:val="lt-LT"/>
        </w:rPr>
        <w:t xml:space="preserve">- </w:t>
      </w:r>
      <w:r w:rsidRPr="00973CE2">
        <w:rPr>
          <w:b/>
          <w:caps/>
          <w:szCs w:val="24"/>
          <w:lang w:val="lt-LT"/>
        </w:rPr>
        <w:t>darželio "Nykštukas" laiptinės remont</w:t>
      </w:r>
      <w:r>
        <w:rPr>
          <w:b/>
          <w:caps/>
          <w:szCs w:val="24"/>
          <w:lang w:val="lt-LT"/>
        </w:rPr>
        <w:t xml:space="preserve">O DARBŲ </w:t>
      </w:r>
      <w:r w:rsidRPr="00E939B7">
        <w:rPr>
          <w:b/>
          <w:szCs w:val="24"/>
          <w:lang w:val="lt-LT"/>
        </w:rPr>
        <w:t>TECHNINĖ SPECIFIKACIJA</w:t>
      </w:r>
    </w:p>
    <w:p w14:paraId="76768983" w14:textId="77777777" w:rsidR="002237F1" w:rsidRPr="00E939B7" w:rsidRDefault="002237F1" w:rsidP="002237F1">
      <w:pPr>
        <w:pStyle w:val="Pagrindinistekstas2"/>
        <w:tabs>
          <w:tab w:val="left" w:pos="1134"/>
        </w:tabs>
        <w:spacing w:line="240" w:lineRule="auto"/>
        <w:jc w:val="center"/>
        <w:rPr>
          <w:b/>
          <w:szCs w:val="24"/>
          <w:lang w:val="lt-LT"/>
        </w:rPr>
      </w:pPr>
    </w:p>
    <w:p w14:paraId="59E186AD" w14:textId="77777777" w:rsidR="002237F1" w:rsidRDefault="002237F1" w:rsidP="002237F1"/>
    <w:p w14:paraId="3BF88A31" w14:textId="257BCB1C" w:rsidR="002237F1" w:rsidRDefault="002237F1" w:rsidP="002237F1">
      <w:pPr>
        <w:jc w:val="both"/>
      </w:pPr>
      <w:r>
        <w:rPr>
          <w:sz w:val="28"/>
          <w:szCs w:val="28"/>
        </w:rPr>
        <w:tab/>
      </w:r>
      <w:r w:rsidRPr="00D50187">
        <w:t xml:space="preserve">Šiuo metu Šiaulių r. Kuršėnų lopšelio </w:t>
      </w:r>
      <w:r w:rsidR="0012496E">
        <w:t xml:space="preserve">- </w:t>
      </w:r>
      <w:r w:rsidRPr="00D50187">
        <w:t>darželio "Nykštukas"</w:t>
      </w:r>
      <w:r w:rsidR="0012496E">
        <w:t xml:space="preserve"> </w:t>
      </w:r>
      <w:r w:rsidR="0012496E" w:rsidRPr="0012496E">
        <w:t>(toliau –Įstaiga)</w:t>
      </w:r>
      <w:r w:rsidRPr="00D50187">
        <w:t xml:space="preserve">, adresu Vydūno g. 9, Kuršėnai, Šiaulių rajonas, laiptinės laiptų pakopos susidėvėjusios, kai kurios sienos apkaltos medinėmis lentelėmis, kitos dažytos aliejiniais dažais, lubos dažytos kreidiniais dažais. Reikia </w:t>
      </w:r>
      <w:r w:rsidR="0012496E" w:rsidRPr="0012496E">
        <w:t>atlikti šiuos darbus</w:t>
      </w:r>
      <w:r w:rsidR="0012496E">
        <w:t xml:space="preserve">: </w:t>
      </w:r>
      <w:r w:rsidRPr="00D50187">
        <w:t>atnaujinti laiptų pakopas padengiant jas keraminėmis laiptų plytelėmis, nuvalyti aliejinius dažus, nulupti medines lenteles, pertinkuoti ir perdažyti sienas, įrengti pakabinamas lubas, sutvarkyti elektros instaliaciją. Darbų kiekiai pateikti 1 lentelėje</w:t>
      </w:r>
      <w:r>
        <w:t xml:space="preserve">. </w:t>
      </w:r>
      <w:r w:rsidRPr="00D50187">
        <w:t>Remonto darbai turi prasidėti 2026 m. birželio 1 d. ir vėliausiai baigti 2026 m. liepos 31 d.</w:t>
      </w:r>
      <w:r>
        <w:t xml:space="preserve"> </w:t>
      </w:r>
    </w:p>
    <w:p w14:paraId="48DA507E" w14:textId="77777777" w:rsidR="002237F1" w:rsidRDefault="002237F1" w:rsidP="002237F1">
      <w:pPr>
        <w:jc w:val="both"/>
      </w:pPr>
    </w:p>
    <w:p w14:paraId="7A4ED1AE" w14:textId="77777777" w:rsidR="002237F1" w:rsidRPr="00D50187" w:rsidRDefault="002237F1" w:rsidP="002237F1">
      <w:pPr>
        <w:jc w:val="both"/>
      </w:pPr>
    </w:p>
    <w:p w14:paraId="3CCEED3B" w14:textId="77777777" w:rsidR="002237F1" w:rsidRPr="00D50187" w:rsidRDefault="002237F1" w:rsidP="002237F1"/>
    <w:p w14:paraId="696FD55C" w14:textId="77777777" w:rsidR="002237F1" w:rsidRPr="00D50187" w:rsidRDefault="002237F1" w:rsidP="002237F1">
      <w:pPr>
        <w:jc w:val="right"/>
      </w:pPr>
      <w:r w:rsidRPr="00D50187">
        <w:t>1 lentelė: Darbų kiekiai</w:t>
      </w:r>
    </w:p>
    <w:p w14:paraId="02591DF7" w14:textId="77777777" w:rsidR="002237F1" w:rsidRDefault="002237F1" w:rsidP="002237F1">
      <w:pPr>
        <w:jc w:val="center"/>
        <w:rPr>
          <w:sz w:val="28"/>
          <w:szCs w:val="28"/>
        </w:rPr>
      </w:pPr>
    </w:p>
    <w:tbl>
      <w:tblPr>
        <w:tblW w:w="8596" w:type="dxa"/>
        <w:tblLayout w:type="fixed"/>
        <w:tblLook w:val="04A0" w:firstRow="1" w:lastRow="0" w:firstColumn="1" w:lastColumn="0" w:noHBand="0" w:noVBand="1"/>
      </w:tblPr>
      <w:tblGrid>
        <w:gridCol w:w="620"/>
        <w:gridCol w:w="5200"/>
        <w:gridCol w:w="1060"/>
        <w:gridCol w:w="1480"/>
        <w:gridCol w:w="236"/>
      </w:tblGrid>
      <w:tr w:rsidR="002237F1" w14:paraId="10E4BC74" w14:textId="77777777" w:rsidTr="002B7B50">
        <w:trPr>
          <w:gridAfter w:val="1"/>
          <w:wAfter w:w="236" w:type="dxa"/>
          <w:trHeight w:val="40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DF43A7" w14:textId="77777777" w:rsidR="002237F1" w:rsidRDefault="002237F1" w:rsidP="002B7B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Eil. Nr.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333CFB" w14:textId="77777777" w:rsidR="002237F1" w:rsidRDefault="002237F1" w:rsidP="002B7B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Darbų ir išlaidų aprašymas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B73575" w14:textId="77777777" w:rsidR="002237F1" w:rsidRDefault="002237F1" w:rsidP="002B7B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AC643" w14:textId="77777777" w:rsidR="002237F1" w:rsidRDefault="002237F1" w:rsidP="002B7B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Kiekis</w:t>
            </w:r>
          </w:p>
        </w:tc>
      </w:tr>
      <w:tr w:rsidR="002237F1" w14:paraId="295541F2" w14:textId="77777777" w:rsidTr="002B7B50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E65E3" w14:textId="77777777" w:rsidR="002237F1" w:rsidRDefault="002237F1" w:rsidP="002B7B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94B3" w14:textId="77777777" w:rsidR="002237F1" w:rsidRDefault="002237F1" w:rsidP="002B7B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6BB3" w14:textId="77777777" w:rsidR="002237F1" w:rsidRDefault="002237F1" w:rsidP="002B7B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06F3F" w14:textId="77777777" w:rsidR="002237F1" w:rsidRDefault="002237F1" w:rsidP="002B7B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86BA" w14:textId="77777777" w:rsidR="002237F1" w:rsidRDefault="002237F1" w:rsidP="002B7B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237F1" w14:paraId="432455EC" w14:textId="77777777" w:rsidTr="002B7B50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97B" w14:textId="77777777" w:rsidR="002237F1" w:rsidRDefault="002237F1" w:rsidP="002B7B50">
            <w:pPr>
              <w:jc w:val="center"/>
              <w:rPr>
                <w:rFonts w:ascii="Arial Baltic" w:hAnsi="Arial Balt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0B71FC" w14:textId="77777777" w:rsidR="002237F1" w:rsidRDefault="002237F1" w:rsidP="002B7B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BENDRASTATYBINIAI DARBAI</w:t>
            </w:r>
          </w:p>
        </w:tc>
        <w:tc>
          <w:tcPr>
            <w:tcW w:w="236" w:type="dxa"/>
            <w:vAlign w:val="center"/>
            <w:hideMark/>
          </w:tcPr>
          <w:p w14:paraId="1420A345" w14:textId="77777777" w:rsidR="002237F1" w:rsidRDefault="002237F1" w:rsidP="002B7B50"/>
        </w:tc>
      </w:tr>
      <w:tr w:rsidR="002237F1" w14:paraId="46E188D5" w14:textId="77777777" w:rsidTr="002B7B50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1FFD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2446" w14:textId="77777777" w:rsidR="002237F1" w:rsidRDefault="002237F1" w:rsidP="002B7B50">
            <w:pPr>
              <w:rPr>
                <w:rFonts w:ascii="Arial Baltic" w:hAnsi="Arial Baltic" w:cs="Calibri"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5279" w14:textId="77777777" w:rsidR="002237F1" w:rsidRDefault="002237F1" w:rsidP="002B7B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1928C" w14:textId="77777777" w:rsidR="002237F1" w:rsidRDefault="002237F1" w:rsidP="002B7B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2FCD3D" w14:textId="77777777" w:rsidR="002237F1" w:rsidRDefault="002237F1" w:rsidP="002B7B50"/>
        </w:tc>
      </w:tr>
      <w:tr w:rsidR="002237F1" w14:paraId="08D24C03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2DE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C6DDA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Cementinių grindjuosčių nuardymas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ED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FAF8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36" w:type="dxa"/>
            <w:vAlign w:val="center"/>
            <w:hideMark/>
          </w:tcPr>
          <w:p w14:paraId="408D53BD" w14:textId="77777777" w:rsidR="002237F1" w:rsidRDefault="002237F1" w:rsidP="002B7B50"/>
        </w:tc>
      </w:tr>
      <w:tr w:rsidR="002237F1" w14:paraId="399A204D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B41C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3F4F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Laiptų pakopų pjovimas diskiniu pjūklu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8D2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ED94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236" w:type="dxa"/>
            <w:vAlign w:val="center"/>
            <w:hideMark/>
          </w:tcPr>
          <w:p w14:paraId="76731FDC" w14:textId="77777777" w:rsidR="002237F1" w:rsidRDefault="002237F1" w:rsidP="002B7B50"/>
        </w:tc>
      </w:tr>
      <w:tr w:rsidR="002237F1" w14:paraId="6B34CF55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FAAB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6402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 xml:space="preserve">Inventorinių vamzdinių iki 6m aukščio pastolių įrengimas ir išardymas vidaus apdailos darbams (100m2 </w:t>
            </w:r>
            <w:proofErr w:type="spellStart"/>
            <w:r>
              <w:rPr>
                <w:color w:val="000000"/>
              </w:rPr>
              <w:t>horizont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projekc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488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795F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36" w:type="dxa"/>
            <w:vAlign w:val="center"/>
            <w:hideMark/>
          </w:tcPr>
          <w:p w14:paraId="0BF2585E" w14:textId="77777777" w:rsidR="002237F1" w:rsidRDefault="002237F1" w:rsidP="002B7B50"/>
        </w:tc>
      </w:tr>
      <w:tr w:rsidR="002237F1" w14:paraId="1BE22482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121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6590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 xml:space="preserve">Sienų lentinio </w:t>
            </w:r>
            <w:proofErr w:type="spellStart"/>
            <w:r>
              <w:rPr>
                <w:color w:val="000000"/>
              </w:rPr>
              <w:t>apkalo</w:t>
            </w:r>
            <w:proofErr w:type="spellEnd"/>
            <w:r>
              <w:rPr>
                <w:color w:val="000000"/>
              </w:rPr>
              <w:t xml:space="preserve"> (netinkuoto) išardymas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38B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E20BE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236" w:type="dxa"/>
            <w:vAlign w:val="center"/>
            <w:hideMark/>
          </w:tcPr>
          <w:p w14:paraId="5A8ADA36" w14:textId="77777777" w:rsidR="002237F1" w:rsidRDefault="002237F1" w:rsidP="002B7B50"/>
        </w:tc>
      </w:tr>
      <w:tr w:rsidR="002237F1" w14:paraId="6132C47C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4F5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8F34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Senų dažų pašalinimas nuo sienų paviršių, dažytų aliejiniais dažais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B7B9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31B88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E41CD5" w14:textId="77777777" w:rsidR="002237F1" w:rsidRDefault="002237F1" w:rsidP="002B7B50"/>
        </w:tc>
      </w:tr>
      <w:tr w:rsidR="002237F1" w14:paraId="787DFA80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B038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591E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Sienų vidinių paviršių pagrindo gruntavimas sukibimą gerinančiais gruntais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A8A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28621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  <w:tc>
          <w:tcPr>
            <w:tcW w:w="236" w:type="dxa"/>
            <w:vAlign w:val="center"/>
            <w:hideMark/>
          </w:tcPr>
          <w:p w14:paraId="18405EB5" w14:textId="77777777" w:rsidR="002237F1" w:rsidRDefault="002237F1" w:rsidP="002B7B50"/>
        </w:tc>
      </w:tr>
      <w:tr w:rsidR="002237F1" w14:paraId="7D490000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FBE9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D36A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Sienų vidinių paviršių išlyginimas "</w:t>
            </w:r>
            <w:proofErr w:type="spellStart"/>
            <w:r>
              <w:rPr>
                <w:color w:val="000000"/>
              </w:rPr>
              <w:t>Rotband</w:t>
            </w:r>
            <w:proofErr w:type="spellEnd"/>
            <w:r>
              <w:rPr>
                <w:color w:val="000000"/>
              </w:rPr>
              <w:t>" mišiniu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6513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83C0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  <w:tc>
          <w:tcPr>
            <w:tcW w:w="236" w:type="dxa"/>
            <w:vAlign w:val="center"/>
            <w:hideMark/>
          </w:tcPr>
          <w:p w14:paraId="2033C63E" w14:textId="77777777" w:rsidR="002237F1" w:rsidRDefault="002237F1" w:rsidP="002B7B50"/>
        </w:tc>
      </w:tr>
      <w:tr w:rsidR="002237F1" w14:paraId="2C43A50F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B2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49C2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Dekoratyvinis tinkas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DA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AE3FC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  <w:tc>
          <w:tcPr>
            <w:tcW w:w="236" w:type="dxa"/>
            <w:vAlign w:val="center"/>
            <w:hideMark/>
          </w:tcPr>
          <w:p w14:paraId="4368F31E" w14:textId="77777777" w:rsidR="002237F1" w:rsidRDefault="002237F1" w:rsidP="002B7B50"/>
        </w:tc>
      </w:tr>
      <w:tr w:rsidR="002237F1" w14:paraId="1A72C66F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FE2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DF81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Palangių lentų montavimas mūrinėse sienose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40A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A7E4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  <w:tc>
          <w:tcPr>
            <w:tcW w:w="236" w:type="dxa"/>
            <w:vAlign w:val="center"/>
            <w:hideMark/>
          </w:tcPr>
          <w:p w14:paraId="251B1148" w14:textId="77777777" w:rsidR="002237F1" w:rsidRDefault="002237F1" w:rsidP="002B7B50"/>
        </w:tc>
      </w:tr>
      <w:tr w:rsidR="002237F1" w14:paraId="08EB8B1D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4A8B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F9582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Lubų ir laiptų maršų dažymas emulsiniais dažais, paruošiant paviršių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BF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0E8DA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36" w:type="dxa"/>
            <w:vAlign w:val="center"/>
            <w:hideMark/>
          </w:tcPr>
          <w:p w14:paraId="1721DB6C" w14:textId="77777777" w:rsidR="002237F1" w:rsidRDefault="002237F1" w:rsidP="002B7B50"/>
        </w:tc>
      </w:tr>
      <w:tr w:rsidR="002237F1" w14:paraId="6F3D7761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98F2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C6BB6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Tinkuotų vidaus sienų labai geras dažymas vandens emulsiniais dažais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D8E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99060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36" w:type="dxa"/>
            <w:vAlign w:val="center"/>
            <w:hideMark/>
          </w:tcPr>
          <w:p w14:paraId="65F47BC7" w14:textId="77777777" w:rsidR="002237F1" w:rsidRDefault="002237F1" w:rsidP="002B7B50"/>
        </w:tc>
      </w:tr>
      <w:tr w:rsidR="002237F1" w14:paraId="1BB6773F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A84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256E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Durų apvadų keitimas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8F9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9F77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  <w:tc>
          <w:tcPr>
            <w:tcW w:w="236" w:type="dxa"/>
            <w:vAlign w:val="center"/>
            <w:hideMark/>
          </w:tcPr>
          <w:p w14:paraId="1D17236B" w14:textId="77777777" w:rsidR="002237F1" w:rsidRDefault="002237F1" w:rsidP="002B7B50"/>
        </w:tc>
      </w:tr>
      <w:tr w:rsidR="002237F1" w14:paraId="77D0A41E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684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5510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Amstrong</w:t>
            </w:r>
            <w:proofErr w:type="spellEnd"/>
            <w:r>
              <w:rPr>
                <w:color w:val="000000"/>
              </w:rPr>
              <w:t>" akustinių pakabinamų lubų su metalo konstrukcija ir plokštėmis 600x600 mm įrengimas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EE2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D088B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236" w:type="dxa"/>
            <w:vAlign w:val="center"/>
            <w:hideMark/>
          </w:tcPr>
          <w:p w14:paraId="363DB189" w14:textId="77777777" w:rsidR="002237F1" w:rsidRDefault="002237F1" w:rsidP="002B7B50"/>
        </w:tc>
      </w:tr>
      <w:tr w:rsidR="002237F1" w14:paraId="0E944261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FA7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E8D0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Laiptų pakopų aptaisymas akmens masės plytelėmis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6801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AAC54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236" w:type="dxa"/>
            <w:vAlign w:val="center"/>
            <w:hideMark/>
          </w:tcPr>
          <w:p w14:paraId="4281F4AC" w14:textId="77777777" w:rsidR="002237F1" w:rsidRDefault="002237F1" w:rsidP="002B7B50"/>
        </w:tc>
      </w:tr>
      <w:tr w:rsidR="002237F1" w14:paraId="32D4A056" w14:textId="77777777" w:rsidTr="002B7B5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92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B7E3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Laiptų aikštelių aptaisymas akmens masės plytelėmis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3F3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79BD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236" w:type="dxa"/>
            <w:vAlign w:val="center"/>
            <w:hideMark/>
          </w:tcPr>
          <w:p w14:paraId="67D35E46" w14:textId="77777777" w:rsidR="002237F1" w:rsidRDefault="002237F1" w:rsidP="002B7B50"/>
        </w:tc>
      </w:tr>
      <w:tr w:rsidR="002237F1" w14:paraId="5B239C6B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D53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6DE2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Grindjuosčių įrengimas plytelių grindų dangoms, akmens masės grindų plyteles padarant grindjuostėmis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34D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F0FB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236" w:type="dxa"/>
            <w:vAlign w:val="center"/>
            <w:hideMark/>
          </w:tcPr>
          <w:p w14:paraId="7CEAEA18" w14:textId="77777777" w:rsidR="002237F1" w:rsidRDefault="002237F1" w:rsidP="002B7B50"/>
        </w:tc>
      </w:tr>
      <w:tr w:rsidR="002237F1" w14:paraId="15E40430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9EE6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91DA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Metalinių laiptų turėklų nuėmimas ir atstatymas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028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7EF6A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36" w:type="dxa"/>
            <w:vAlign w:val="center"/>
            <w:hideMark/>
          </w:tcPr>
          <w:p w14:paraId="4C488A07" w14:textId="77777777" w:rsidR="002237F1" w:rsidRDefault="002237F1" w:rsidP="002B7B50"/>
        </w:tc>
      </w:tr>
      <w:tr w:rsidR="002237F1" w14:paraId="1C47712B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7083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51F1" w14:textId="77777777" w:rsidR="002237F1" w:rsidRDefault="002237F1" w:rsidP="002B7B50">
            <w:r>
              <w:t>Statybinių šiukšlių valymas iš patalpų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6A29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F780B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55DD0CF8" w14:textId="77777777" w:rsidR="002237F1" w:rsidRDefault="002237F1" w:rsidP="002B7B50"/>
        </w:tc>
      </w:tr>
      <w:tr w:rsidR="002237F1" w14:paraId="4FD98A50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47B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67562" w14:textId="77777777" w:rsidR="002237F1" w:rsidRDefault="002237F1" w:rsidP="002B7B50">
            <w:r>
              <w:t>Statybinių šiukšlių išvežimas 10 km atstumu automobiliais-savivarčiais, pakraunant rankiniu būdu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E1FA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7288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537BCFA3" w14:textId="77777777" w:rsidR="002237F1" w:rsidRDefault="002237F1" w:rsidP="002B7B50"/>
        </w:tc>
      </w:tr>
      <w:tr w:rsidR="002237F1" w14:paraId="11183522" w14:textId="77777777" w:rsidTr="002B7B5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00B1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7A23" w14:textId="77777777" w:rsidR="002237F1" w:rsidRDefault="002237F1" w:rsidP="002B7B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ELEKTROTECHNIKOS DARBAI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89DF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8"/>
                <w:szCs w:val="18"/>
              </w:rPr>
            </w:pPr>
            <w:r>
              <w:rPr>
                <w:rFonts w:ascii="Arial Baltic" w:hAnsi="Arial Balt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32534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8"/>
                <w:szCs w:val="18"/>
              </w:rPr>
            </w:pPr>
            <w:r>
              <w:rPr>
                <w:rFonts w:ascii="Arial Baltic" w:hAnsi="Arial Balt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86F2A9" w14:textId="77777777" w:rsidR="002237F1" w:rsidRDefault="002237F1" w:rsidP="002B7B50"/>
        </w:tc>
      </w:tr>
      <w:tr w:rsidR="002237F1" w14:paraId="0FD7F4A1" w14:textId="77777777" w:rsidTr="002B7B50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16DE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6"/>
                <w:szCs w:val="16"/>
              </w:rPr>
            </w:pPr>
            <w:r>
              <w:rPr>
                <w:rFonts w:ascii="Arial Baltic" w:hAnsi="Arial Baltic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9215B" w14:textId="77777777" w:rsidR="002237F1" w:rsidRDefault="002237F1" w:rsidP="002B7B50">
            <w:pPr>
              <w:rPr>
                <w:rFonts w:ascii="Arial Baltic" w:hAnsi="Arial Baltic" w:cs="Calibri"/>
                <w:color w:val="000000"/>
                <w:sz w:val="18"/>
                <w:szCs w:val="18"/>
              </w:rPr>
            </w:pPr>
            <w:r>
              <w:rPr>
                <w:rFonts w:ascii="Arial Baltic" w:hAnsi="Arial Balt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90AE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8"/>
                <w:szCs w:val="18"/>
              </w:rPr>
            </w:pPr>
            <w:r>
              <w:rPr>
                <w:rFonts w:ascii="Arial Baltic" w:hAnsi="Arial Balt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816FD" w14:textId="77777777" w:rsidR="002237F1" w:rsidRDefault="002237F1" w:rsidP="002B7B50">
            <w:pPr>
              <w:jc w:val="center"/>
              <w:rPr>
                <w:rFonts w:ascii="Arial Baltic" w:hAnsi="Arial Baltic" w:cs="Calibri"/>
                <w:color w:val="000000"/>
                <w:sz w:val="18"/>
                <w:szCs w:val="18"/>
              </w:rPr>
            </w:pPr>
            <w:r>
              <w:rPr>
                <w:rFonts w:ascii="Arial Baltic" w:hAnsi="Arial Balt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E6AF18" w14:textId="77777777" w:rsidR="002237F1" w:rsidRDefault="002237F1" w:rsidP="002B7B50"/>
        </w:tc>
      </w:tr>
      <w:tr w:rsidR="002237F1" w14:paraId="6EB57081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6DD9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01DC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Šviestuvų demontavimas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41A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100vnt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21FE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36" w:type="dxa"/>
            <w:vAlign w:val="center"/>
            <w:hideMark/>
          </w:tcPr>
          <w:p w14:paraId="469F776D" w14:textId="77777777" w:rsidR="002237F1" w:rsidRDefault="002237F1" w:rsidP="002B7B50"/>
        </w:tc>
      </w:tr>
      <w:tr w:rsidR="002237F1" w14:paraId="24E43662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D59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1C2B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Jungiklių demontavimas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797C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100vnt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3580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36" w:type="dxa"/>
            <w:vAlign w:val="center"/>
            <w:hideMark/>
          </w:tcPr>
          <w:p w14:paraId="3C15A192" w14:textId="77777777" w:rsidR="002237F1" w:rsidRDefault="002237F1" w:rsidP="002B7B50"/>
        </w:tc>
      </w:tr>
      <w:tr w:rsidR="002237F1" w14:paraId="69C94A20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06F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43B9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 xml:space="preserve">Vagų iškirtimas paslėptai elektros </w:t>
            </w:r>
            <w:proofErr w:type="spellStart"/>
            <w:r>
              <w:rPr>
                <w:color w:val="000000"/>
              </w:rPr>
              <w:t>instalicijai</w:t>
            </w:r>
            <w:proofErr w:type="spellEnd"/>
            <w:r>
              <w:rPr>
                <w:color w:val="000000"/>
              </w:rPr>
              <w:t xml:space="preserve"> vagotuvu tinkuotose sienose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D6F1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0A103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119DB22E" w14:textId="77777777" w:rsidR="002237F1" w:rsidRDefault="002237F1" w:rsidP="002B7B50"/>
        </w:tc>
      </w:tr>
      <w:tr w:rsidR="002237F1" w14:paraId="7C55E315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AF66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CCF8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Dviejų-trijų gyslų laidų tiesimas sienose ir paruoštose vagose (po tinku)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3C08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DD52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36" w:type="dxa"/>
            <w:vAlign w:val="center"/>
            <w:hideMark/>
          </w:tcPr>
          <w:p w14:paraId="4046EF44" w14:textId="77777777" w:rsidR="002237F1" w:rsidRDefault="002237F1" w:rsidP="002B7B50"/>
        </w:tc>
      </w:tr>
      <w:tr w:rsidR="002237F1" w14:paraId="056D2641" w14:textId="77777777" w:rsidTr="002B7B50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A59A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EB9EC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Vagų užtaisymas (tinkavimas), nutiesus apšvietimo tinklo laidus sienų paviršiuose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5651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EF5B7D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549579C4" w14:textId="77777777" w:rsidR="002237F1" w:rsidRDefault="002237F1" w:rsidP="002B7B50"/>
        </w:tc>
      </w:tr>
      <w:tr w:rsidR="002237F1" w14:paraId="182E6742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3B1E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CDE1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12 modulių paskirstymo skydelių surinkimas ir montavimas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24BA" w14:textId="77777777" w:rsidR="002237F1" w:rsidRDefault="002237F1" w:rsidP="002B7B5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85D44E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36" w:type="dxa"/>
            <w:vAlign w:val="center"/>
            <w:hideMark/>
          </w:tcPr>
          <w:p w14:paraId="3E2E7AEB" w14:textId="77777777" w:rsidR="002237F1" w:rsidRDefault="002237F1" w:rsidP="002B7B50"/>
        </w:tc>
      </w:tr>
      <w:tr w:rsidR="002237F1" w14:paraId="426520DC" w14:textId="77777777" w:rsidTr="002B7B50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94E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3A65E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LED šviestuvų montavimas pakabinamų lubų angose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69C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100vnt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B75B5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36" w:type="dxa"/>
            <w:vAlign w:val="center"/>
            <w:hideMark/>
          </w:tcPr>
          <w:p w14:paraId="3B6F92F2" w14:textId="77777777" w:rsidR="002237F1" w:rsidRDefault="002237F1" w:rsidP="002B7B50"/>
        </w:tc>
      </w:tr>
      <w:tr w:rsidR="002237F1" w14:paraId="0FD0ABE3" w14:textId="77777777" w:rsidTr="002B7B50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AA74AF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24B3277" w14:textId="77777777" w:rsidR="002237F1" w:rsidRDefault="002237F1" w:rsidP="002B7B50">
            <w:pPr>
              <w:rPr>
                <w:color w:val="000000"/>
              </w:rPr>
            </w:pPr>
            <w:r>
              <w:rPr>
                <w:color w:val="000000"/>
              </w:rPr>
              <w:t>LED šviestuvų montavimas ant sienų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DBF7B7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100vnt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B0452" w14:textId="77777777" w:rsidR="002237F1" w:rsidRDefault="002237F1" w:rsidP="002B7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14:paraId="1FA1734A" w14:textId="77777777" w:rsidR="002237F1" w:rsidRDefault="002237F1" w:rsidP="002B7B50"/>
        </w:tc>
      </w:tr>
    </w:tbl>
    <w:p w14:paraId="535EDA50" w14:textId="77777777" w:rsidR="002237F1" w:rsidRDefault="002237F1" w:rsidP="002237F1">
      <w:pPr>
        <w:rPr>
          <w:sz w:val="28"/>
          <w:szCs w:val="28"/>
        </w:rPr>
      </w:pPr>
    </w:p>
    <w:p w14:paraId="78EA0766" w14:textId="77777777" w:rsidR="002237F1" w:rsidRPr="00EE46C5" w:rsidRDefault="002237F1" w:rsidP="002237F1">
      <w:pPr>
        <w:ind w:firstLine="709"/>
        <w:jc w:val="center"/>
        <w:rPr>
          <w:b/>
          <w:i/>
          <w:caps/>
        </w:rPr>
      </w:pPr>
      <w:r w:rsidRPr="00EE46C5">
        <w:rPr>
          <w:b/>
          <w:i/>
          <w:caps/>
        </w:rPr>
        <w:t>Kiti reikalavimai ir sąlygos</w:t>
      </w:r>
    </w:p>
    <w:p w14:paraId="452ADA2D" w14:textId="77777777" w:rsidR="002237F1" w:rsidRPr="00DD34FB" w:rsidRDefault="002237F1" w:rsidP="002237F1">
      <w:pPr>
        <w:ind w:firstLine="709"/>
        <w:jc w:val="both"/>
        <w:rPr>
          <w:b/>
          <w:i/>
          <w:sz w:val="18"/>
          <w:szCs w:val="18"/>
        </w:rPr>
      </w:pPr>
    </w:p>
    <w:p w14:paraId="1800CF96" w14:textId="2B40A1BD" w:rsidR="002237F1" w:rsidRPr="00A365A9" w:rsidRDefault="002237F1" w:rsidP="002237F1">
      <w:pPr>
        <w:ind w:firstLine="709"/>
        <w:jc w:val="both"/>
      </w:pPr>
      <w:r>
        <w:t>1</w:t>
      </w:r>
      <w:r w:rsidRPr="00A365A9">
        <w:t xml:space="preserve">. Visi kiti smulkūs darbai, </w:t>
      </w:r>
      <w:r w:rsidR="0012496E">
        <w:t xml:space="preserve">naudojamos </w:t>
      </w:r>
      <w:r w:rsidRPr="00A365A9">
        <w:t xml:space="preserve">medžiagos, mechanizmai ar kitos sąnaudos, kurie pagal darbų technologiją gali būti reikalingi šioje Techninėje specifikacijoje nurodytiems Darbams atlikti, turi būti įskaičiuoti į bendrą pasiūlymo kainą. </w:t>
      </w:r>
    </w:p>
    <w:p w14:paraId="72285BCC" w14:textId="5A1A30D1" w:rsidR="002237F1" w:rsidRPr="00A365A9" w:rsidRDefault="002237F1" w:rsidP="002237F1">
      <w:pPr>
        <w:ind w:firstLine="709"/>
        <w:jc w:val="both"/>
      </w:pPr>
      <w:r>
        <w:t>2</w:t>
      </w:r>
      <w:r w:rsidRPr="00A365A9">
        <w:t xml:space="preserve">. </w:t>
      </w:r>
      <w:r w:rsidR="0036734B">
        <w:rPr>
          <w:b/>
          <w:bCs/>
        </w:rPr>
        <w:t>Tiekė</w:t>
      </w:r>
      <w:r w:rsidRPr="00064C1B">
        <w:rPr>
          <w:b/>
          <w:bCs/>
        </w:rPr>
        <w:t>jui, prieš pateikiant pasiūlymą, privaloma įvertinti esamą situaciją Įstaigos objekte</w:t>
      </w:r>
      <w:r w:rsidRPr="00A365A9">
        <w:t>.</w:t>
      </w:r>
    </w:p>
    <w:p w14:paraId="115684B1" w14:textId="75D459B1" w:rsidR="002237F1" w:rsidRPr="00A365A9" w:rsidRDefault="002237F1" w:rsidP="002237F1">
      <w:pPr>
        <w:ind w:firstLine="709"/>
        <w:jc w:val="both"/>
      </w:pPr>
      <w:r>
        <w:t>3</w:t>
      </w:r>
      <w:r w:rsidRPr="00A365A9">
        <w:t xml:space="preserve">. Prekės ir kitos medžiagos, reikalingos Darbams atlikti, į </w:t>
      </w:r>
      <w:r w:rsidR="0012496E">
        <w:t xml:space="preserve">Įstaigos </w:t>
      </w:r>
      <w:r w:rsidRPr="00A365A9">
        <w:t xml:space="preserve">objektą turi būti pristatomos kartu su atitikties deklaracijomis, patvirtinančiomis atitikimą Lietuvos ir/ar europinių standartų reikalavimams. </w:t>
      </w:r>
    </w:p>
    <w:p w14:paraId="3F2D3D36" w14:textId="6CA01F7C" w:rsidR="002237F1" w:rsidRPr="00A365A9" w:rsidRDefault="002237F1" w:rsidP="002237F1">
      <w:pPr>
        <w:ind w:left="75" w:firstLine="634"/>
        <w:jc w:val="both"/>
      </w:pPr>
      <w:r>
        <w:t>4</w:t>
      </w:r>
      <w:r w:rsidRPr="00A365A9">
        <w:t xml:space="preserve">. Visus spalvinius ir dizaino sprendinius </w:t>
      </w:r>
      <w:r w:rsidR="0036734B">
        <w:t>Tiekė</w:t>
      </w:r>
      <w:r w:rsidRPr="00A365A9">
        <w:t>jas prieš Darbų pradžią turi suderinti su Įstaiga.</w:t>
      </w:r>
    </w:p>
    <w:p w14:paraId="45922253" w14:textId="455D5709" w:rsidR="002237F1" w:rsidRPr="00A365A9" w:rsidRDefault="002237F1" w:rsidP="002237F1">
      <w:pPr>
        <w:ind w:firstLine="709"/>
        <w:jc w:val="both"/>
      </w:pPr>
      <w:r>
        <w:t>5</w:t>
      </w:r>
      <w:r w:rsidRPr="00A365A9">
        <w:t xml:space="preserve">. </w:t>
      </w:r>
      <w:r w:rsidR="0036734B">
        <w:t>Tiekė</w:t>
      </w:r>
      <w:r w:rsidRPr="00A365A9">
        <w:t xml:space="preserve">jas visas Darbų metu susidariusias atliekas įsipareigoja utilizuoti savo lėšomis. </w:t>
      </w:r>
    </w:p>
    <w:p w14:paraId="123B9E9A" w14:textId="555DE22D" w:rsidR="002237F1" w:rsidRPr="00A365A9" w:rsidRDefault="002237F1" w:rsidP="002237F1">
      <w:pPr>
        <w:ind w:firstLine="709"/>
        <w:jc w:val="both"/>
      </w:pPr>
      <w:r>
        <w:t>6</w:t>
      </w:r>
      <w:r w:rsidRPr="00A365A9">
        <w:t xml:space="preserve">. </w:t>
      </w:r>
      <w:r w:rsidR="0036734B">
        <w:t>Tiekė</w:t>
      </w:r>
      <w:r w:rsidRPr="00A365A9">
        <w:t>jas, prieš pradėdamas Darbus, turi suderinti Darbų laiką su Įstaiga.</w:t>
      </w:r>
    </w:p>
    <w:p w14:paraId="14402242" w14:textId="50387741" w:rsidR="002237F1" w:rsidRPr="00A365A9" w:rsidRDefault="002237F1" w:rsidP="002237F1">
      <w:pPr>
        <w:ind w:firstLine="709"/>
        <w:jc w:val="both"/>
      </w:pPr>
      <w:r>
        <w:t>7</w:t>
      </w:r>
      <w:r w:rsidRPr="00A365A9">
        <w:t xml:space="preserve">. </w:t>
      </w:r>
      <w:r w:rsidR="0036734B">
        <w:t>Tiekė</w:t>
      </w:r>
      <w:r w:rsidRPr="00A365A9">
        <w:t>jas prisiima visą atsakomybę už Darbų saugą.</w:t>
      </w:r>
    </w:p>
    <w:p w14:paraId="7B6F0D2C" w14:textId="40F928CE" w:rsidR="002237F1" w:rsidRDefault="002237F1" w:rsidP="002237F1">
      <w:pPr>
        <w:ind w:firstLine="709"/>
        <w:jc w:val="both"/>
      </w:pPr>
      <w:r>
        <w:t>8</w:t>
      </w:r>
      <w:r w:rsidRPr="00A365A9">
        <w:t xml:space="preserve">. </w:t>
      </w:r>
      <w:r w:rsidR="0036734B">
        <w:t>Tiekė</w:t>
      </w:r>
      <w:r w:rsidRPr="00A365A9">
        <w:t xml:space="preserve">jas Darbus privalo vykdyti vadovaudamasis gamintojų reikalavimais bei tokios rūšies darbų </w:t>
      </w:r>
      <w:r w:rsidR="0012496E">
        <w:t xml:space="preserve">vykdymo </w:t>
      </w:r>
      <w:r w:rsidRPr="00A365A9">
        <w:t>gerąja praktika.</w:t>
      </w:r>
    </w:p>
    <w:p w14:paraId="6E5950F6" w14:textId="77777777" w:rsidR="002237F1" w:rsidRPr="00266D6C" w:rsidRDefault="002237F1" w:rsidP="002237F1">
      <w:pPr>
        <w:ind w:firstLine="709"/>
        <w:jc w:val="both"/>
      </w:pPr>
      <w:bookmarkStart w:id="0" w:name="_Hlk226712625"/>
    </w:p>
    <w:bookmarkEnd w:id="0"/>
    <w:p w14:paraId="7383D07F" w14:textId="77777777" w:rsidR="002237F1" w:rsidRPr="0079505A" w:rsidRDefault="002237F1" w:rsidP="002237F1">
      <w:pPr>
        <w:jc w:val="center"/>
        <w:rPr>
          <w:sz w:val="28"/>
          <w:szCs w:val="28"/>
        </w:rPr>
      </w:pPr>
      <w:r w:rsidRPr="0079505A">
        <w:rPr>
          <w:sz w:val="28"/>
          <w:szCs w:val="28"/>
        </w:rPr>
        <w:t>____________________</w:t>
      </w:r>
    </w:p>
    <w:p w14:paraId="1D87E019" w14:textId="19EF4F64" w:rsidR="00AB58EA" w:rsidRPr="00856BA5" w:rsidRDefault="00AB58EA" w:rsidP="002237F1">
      <w:pPr>
        <w:autoSpaceDE w:val="0"/>
        <w:autoSpaceDN w:val="0"/>
        <w:adjustRightInd w:val="0"/>
        <w:ind w:firstLine="284"/>
        <w:jc w:val="center"/>
        <w:rPr>
          <w:color w:val="000000" w:themeColor="text1"/>
          <w:sz w:val="24"/>
          <w:szCs w:val="24"/>
        </w:rPr>
      </w:pPr>
    </w:p>
    <w:sectPr w:rsidR="00AB58EA" w:rsidRPr="00856BA5" w:rsidSect="00E725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A7C"/>
    <w:multiLevelType w:val="hybridMultilevel"/>
    <w:tmpl w:val="09FA3F80"/>
    <w:lvl w:ilvl="0" w:tplc="70AAC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F5427D"/>
    <w:multiLevelType w:val="hybridMultilevel"/>
    <w:tmpl w:val="E432D3AA"/>
    <w:lvl w:ilvl="0" w:tplc="DB6EA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A424F"/>
    <w:multiLevelType w:val="hybridMultilevel"/>
    <w:tmpl w:val="3DA44AF8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037787"/>
    <w:multiLevelType w:val="hybridMultilevel"/>
    <w:tmpl w:val="BC5804E2"/>
    <w:lvl w:ilvl="0" w:tplc="423450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464061"/>
    <w:multiLevelType w:val="hybridMultilevel"/>
    <w:tmpl w:val="3EB075D4"/>
    <w:lvl w:ilvl="0" w:tplc="CF7E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36">
    <w:abstractNumId w:val="4"/>
  </w:num>
  <w:num w:numId="2" w16cid:durableId="1043024010">
    <w:abstractNumId w:val="1"/>
  </w:num>
  <w:num w:numId="3" w16cid:durableId="1250387285">
    <w:abstractNumId w:val="2"/>
  </w:num>
  <w:num w:numId="4" w16cid:durableId="1403681260">
    <w:abstractNumId w:val="0"/>
  </w:num>
  <w:num w:numId="5" w16cid:durableId="1260213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9"/>
    <w:rsid w:val="00042EC6"/>
    <w:rsid w:val="00062777"/>
    <w:rsid w:val="000731A0"/>
    <w:rsid w:val="00103761"/>
    <w:rsid w:val="00110168"/>
    <w:rsid w:val="00117961"/>
    <w:rsid w:val="0012496E"/>
    <w:rsid w:val="00130494"/>
    <w:rsid w:val="0016018E"/>
    <w:rsid w:val="0017444E"/>
    <w:rsid w:val="001A08F6"/>
    <w:rsid w:val="001F1013"/>
    <w:rsid w:val="00204363"/>
    <w:rsid w:val="002211D3"/>
    <w:rsid w:val="002237F1"/>
    <w:rsid w:val="00286BA9"/>
    <w:rsid w:val="00305227"/>
    <w:rsid w:val="00353271"/>
    <w:rsid w:val="0036734B"/>
    <w:rsid w:val="00391C63"/>
    <w:rsid w:val="003C5FA5"/>
    <w:rsid w:val="003D116E"/>
    <w:rsid w:val="003F2962"/>
    <w:rsid w:val="00426694"/>
    <w:rsid w:val="004423C9"/>
    <w:rsid w:val="00465871"/>
    <w:rsid w:val="00475ADF"/>
    <w:rsid w:val="004822A9"/>
    <w:rsid w:val="00482E34"/>
    <w:rsid w:val="005401E9"/>
    <w:rsid w:val="00542AEB"/>
    <w:rsid w:val="00554610"/>
    <w:rsid w:val="00607D6F"/>
    <w:rsid w:val="00665832"/>
    <w:rsid w:val="0066642F"/>
    <w:rsid w:val="00703628"/>
    <w:rsid w:val="0073429F"/>
    <w:rsid w:val="00743EC1"/>
    <w:rsid w:val="00765C31"/>
    <w:rsid w:val="007A6510"/>
    <w:rsid w:val="007D3EA3"/>
    <w:rsid w:val="007E6C89"/>
    <w:rsid w:val="008274AF"/>
    <w:rsid w:val="00835CD7"/>
    <w:rsid w:val="00856BA5"/>
    <w:rsid w:val="008579F8"/>
    <w:rsid w:val="00877D0C"/>
    <w:rsid w:val="00891EF2"/>
    <w:rsid w:val="009151F3"/>
    <w:rsid w:val="00923688"/>
    <w:rsid w:val="00951D02"/>
    <w:rsid w:val="00971AA7"/>
    <w:rsid w:val="009A1F91"/>
    <w:rsid w:val="009C5347"/>
    <w:rsid w:val="00A47654"/>
    <w:rsid w:val="00AA1158"/>
    <w:rsid w:val="00AA4CD3"/>
    <w:rsid w:val="00AB58EA"/>
    <w:rsid w:val="00AB659B"/>
    <w:rsid w:val="00B038A4"/>
    <w:rsid w:val="00B2696D"/>
    <w:rsid w:val="00B56577"/>
    <w:rsid w:val="00BA0980"/>
    <w:rsid w:val="00BA3958"/>
    <w:rsid w:val="00BB4339"/>
    <w:rsid w:val="00C37DF9"/>
    <w:rsid w:val="00C47928"/>
    <w:rsid w:val="00CA0898"/>
    <w:rsid w:val="00D21CA7"/>
    <w:rsid w:val="00D239C6"/>
    <w:rsid w:val="00DD38E1"/>
    <w:rsid w:val="00E06BD4"/>
    <w:rsid w:val="00E42EF1"/>
    <w:rsid w:val="00E509E8"/>
    <w:rsid w:val="00E7256A"/>
    <w:rsid w:val="00EE31B1"/>
    <w:rsid w:val="00F64812"/>
    <w:rsid w:val="00FB565F"/>
    <w:rsid w:val="00FB6203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3CA1"/>
  <w15:chartTrackingRefBased/>
  <w15:docId w15:val="{53B3360C-BC60-4B6B-B4B8-F6031309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5401E9"/>
    <w:pPr>
      <w:ind w:left="720"/>
    </w:pPr>
    <w:rPr>
      <w:rFonts w:ascii="Calibri" w:eastAsia="Calibri" w:hAnsi="Calibri"/>
      <w:sz w:val="22"/>
      <w:szCs w:val="22"/>
      <w:lang w:val="x-none"/>
    </w:rPr>
  </w:style>
  <w:style w:type="character" w:customStyle="1" w:styleId="SraopastraipaDiagrama">
    <w:name w:val="Sąrašo pastraipa Diagrama"/>
    <w:link w:val="Sraopastraipa"/>
    <w:uiPriority w:val="34"/>
    <w:rsid w:val="005401E9"/>
    <w:rPr>
      <w:rFonts w:ascii="Calibri" w:eastAsia="Calibri" w:hAnsi="Calibri" w:cs="Times New Roman"/>
      <w:lang w:val="x-none"/>
    </w:rPr>
  </w:style>
  <w:style w:type="paragraph" w:styleId="Pagrindinistekstas2">
    <w:name w:val="Body Text 2"/>
    <w:basedOn w:val="prastasis"/>
    <w:link w:val="Pagrindinistekstas2Diagrama"/>
    <w:rsid w:val="002237F1"/>
    <w:pPr>
      <w:spacing w:line="360" w:lineRule="auto"/>
    </w:pPr>
    <w:rPr>
      <w:sz w:val="24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237F1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ŠPC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Repečka</dc:creator>
  <cp:keywords/>
  <dc:description/>
  <cp:lastModifiedBy>Arvydas Repečka</cp:lastModifiedBy>
  <cp:revision>5</cp:revision>
  <dcterms:created xsi:type="dcterms:W3CDTF">2025-03-26T13:32:00Z</dcterms:created>
  <dcterms:modified xsi:type="dcterms:W3CDTF">2026-04-17T08:27:00Z</dcterms:modified>
</cp:coreProperties>
</file>