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AF495" w14:textId="77777777" w:rsidR="00E71BC6" w:rsidRDefault="00E71BC6" w:rsidP="00E20591">
      <w:pPr>
        <w:suppressAutoHyphens w:val="0"/>
        <w:spacing w:before="100" w:beforeAutospacing="1" w:after="40"/>
        <w:jc w:val="right"/>
        <w:rPr>
          <w:rFonts w:eastAsia="Times New Roman"/>
          <w:color w:val="000000" w:themeColor="text1"/>
          <w:lang w:val="lt-LT" w:eastAsia="lt-LT"/>
        </w:rPr>
      </w:pPr>
      <w:bookmarkStart w:id="0" w:name="_Hlk135226019"/>
    </w:p>
    <w:p w14:paraId="63A3BA18" w14:textId="267ED831" w:rsidR="00E71BC6" w:rsidRDefault="00E71BC6" w:rsidP="00E71BC6">
      <w:pPr>
        <w:suppressAutoHyphens w:val="0"/>
        <w:spacing w:before="100" w:beforeAutospacing="1" w:after="40"/>
        <w:rPr>
          <w:rFonts w:eastAsia="Times New Roman"/>
          <w:color w:val="000000" w:themeColor="text1"/>
          <w:lang w:val="lt-LT" w:eastAsia="lt-LT"/>
        </w:rPr>
      </w:pPr>
      <w:r>
        <w:rPr>
          <w:rFonts w:eastAsia="Times New Roman"/>
          <w:color w:val="000000" w:themeColor="text1"/>
          <w:lang w:val="lt-LT" w:eastAsia="lt-LT"/>
        </w:rPr>
        <w:t>Kvalifikacij</w:t>
      </w:r>
      <w:r w:rsidR="00221D40">
        <w:rPr>
          <w:rFonts w:eastAsia="Times New Roman"/>
          <w:color w:val="000000" w:themeColor="text1"/>
          <w:lang w:val="lt-LT" w:eastAsia="lt-LT"/>
        </w:rPr>
        <w:t>os reikalavimai:</w:t>
      </w:r>
      <w:r>
        <w:rPr>
          <w:rFonts w:eastAsia="Times New Roman"/>
          <w:color w:val="000000" w:themeColor="text1"/>
          <w:lang w:val="lt-LT" w:eastAsia="lt-LT"/>
        </w:rPr>
        <w:t>:</w:t>
      </w:r>
    </w:p>
    <w:tbl>
      <w:tblPr>
        <w:tblStyle w:val="TableGrid"/>
        <w:tblW w:w="11194" w:type="dxa"/>
        <w:tblLook w:val="04A0" w:firstRow="1" w:lastRow="0" w:firstColumn="1" w:lastColumn="0" w:noHBand="0" w:noVBand="1"/>
      </w:tblPr>
      <w:tblGrid>
        <w:gridCol w:w="1129"/>
        <w:gridCol w:w="5103"/>
        <w:gridCol w:w="4962"/>
      </w:tblGrid>
      <w:tr w:rsidR="00221D40" w14:paraId="2CE8DAE4" w14:textId="77777777" w:rsidTr="00D53FC0">
        <w:tc>
          <w:tcPr>
            <w:tcW w:w="1129" w:type="dxa"/>
          </w:tcPr>
          <w:p w14:paraId="3EFB7D60" w14:textId="03A44443" w:rsidR="00221D40" w:rsidRPr="00615993" w:rsidRDefault="00221D40" w:rsidP="00221D40">
            <w:pPr>
              <w:suppressAutoHyphens w:val="0"/>
              <w:spacing w:before="100" w:beforeAutospacing="1" w:after="40"/>
              <w:rPr>
                <w:rFonts w:eastAsia="Times New Roman"/>
                <w:color w:val="000000" w:themeColor="text1"/>
                <w:lang w:val="lt-LT" w:eastAsia="lt-LT"/>
              </w:rPr>
            </w:pPr>
            <w:r w:rsidRPr="00615993">
              <w:rPr>
                <w:rFonts w:eastAsia="Times New Roman"/>
                <w:b/>
                <w:bCs/>
                <w:lang w:val="lt-LT"/>
              </w:rPr>
              <w:t>Eil. Nr.</w:t>
            </w:r>
          </w:p>
        </w:tc>
        <w:tc>
          <w:tcPr>
            <w:tcW w:w="5103" w:type="dxa"/>
            <w:vAlign w:val="center"/>
          </w:tcPr>
          <w:p w14:paraId="51059CDF" w14:textId="4FDB6740" w:rsidR="00221D40" w:rsidRPr="00615993" w:rsidRDefault="00221D40" w:rsidP="00221D40">
            <w:pPr>
              <w:suppressAutoHyphens w:val="0"/>
              <w:spacing w:before="100" w:beforeAutospacing="1" w:after="40"/>
              <w:rPr>
                <w:rFonts w:eastAsia="Times New Roman"/>
                <w:color w:val="000000" w:themeColor="text1"/>
                <w:lang w:val="lt-LT" w:eastAsia="lt-LT"/>
              </w:rPr>
            </w:pPr>
            <w:r w:rsidRPr="00E71BC6">
              <w:rPr>
                <w:rFonts w:eastAsia="Times New Roman"/>
                <w:b/>
                <w:bCs/>
                <w:lang w:val="lt-LT"/>
              </w:rPr>
              <w:t>Reikalavimas</w:t>
            </w:r>
          </w:p>
        </w:tc>
        <w:tc>
          <w:tcPr>
            <w:tcW w:w="4962" w:type="dxa"/>
            <w:vAlign w:val="center"/>
          </w:tcPr>
          <w:p w14:paraId="5F5FFE69" w14:textId="2F14E2D5" w:rsidR="00221D40" w:rsidRPr="00615993" w:rsidRDefault="00221D40" w:rsidP="00221D40">
            <w:pPr>
              <w:suppressAutoHyphens w:val="0"/>
              <w:spacing w:before="100" w:beforeAutospacing="1" w:after="40"/>
              <w:rPr>
                <w:rFonts w:eastAsia="Times New Roman"/>
                <w:color w:val="000000" w:themeColor="text1"/>
                <w:lang w:val="lt-LT" w:eastAsia="lt-LT"/>
              </w:rPr>
            </w:pPr>
            <w:r w:rsidRPr="00E71BC6">
              <w:rPr>
                <w:rFonts w:eastAsia="Times New Roman"/>
                <w:b/>
                <w:bCs/>
                <w:lang w:val="lt-LT"/>
              </w:rPr>
              <w:t>Reikalavimą patvirtinantys dokumentai / informacija</w:t>
            </w:r>
          </w:p>
        </w:tc>
      </w:tr>
      <w:tr w:rsidR="00221D40" w14:paraId="3DC70908" w14:textId="77777777" w:rsidTr="00D53FC0">
        <w:tc>
          <w:tcPr>
            <w:tcW w:w="1129" w:type="dxa"/>
          </w:tcPr>
          <w:p w14:paraId="7968783F" w14:textId="4F4EE463" w:rsidR="00221D40" w:rsidRPr="00615993" w:rsidRDefault="00221D40" w:rsidP="00221D40">
            <w:pPr>
              <w:suppressAutoHyphens w:val="0"/>
              <w:spacing w:before="100" w:beforeAutospacing="1" w:after="40"/>
              <w:rPr>
                <w:rFonts w:eastAsia="Times New Roman"/>
                <w:color w:val="000000" w:themeColor="text1"/>
                <w:lang w:val="lt-LT" w:eastAsia="lt-LT"/>
              </w:rPr>
            </w:pPr>
            <w:r w:rsidRPr="00615993">
              <w:rPr>
                <w:rFonts w:eastAsia="Times New Roman"/>
                <w:lang w:val="lt-LT"/>
              </w:rPr>
              <w:t>1</w:t>
            </w:r>
          </w:p>
        </w:tc>
        <w:tc>
          <w:tcPr>
            <w:tcW w:w="5103" w:type="dxa"/>
            <w:vAlign w:val="center"/>
          </w:tcPr>
          <w:p w14:paraId="13BB3DE2" w14:textId="77777777" w:rsidR="00221D40" w:rsidRDefault="00221D40" w:rsidP="00221D40">
            <w:pPr>
              <w:suppressAutoHyphens w:val="0"/>
              <w:spacing w:before="100" w:beforeAutospacing="1" w:after="40"/>
              <w:rPr>
                <w:rFonts w:eastAsia="Times New Roman"/>
                <w:lang w:val="lt-LT"/>
              </w:rPr>
            </w:pPr>
            <w:r w:rsidRPr="00E71BC6">
              <w:rPr>
                <w:rFonts w:eastAsia="Times New Roman"/>
                <w:lang w:val="lt-LT"/>
              </w:rPr>
              <w:t>Tiekėjas turi teisę vykdyti atliekų surinkimo</w:t>
            </w:r>
            <w:r w:rsidR="002F7A05">
              <w:rPr>
                <w:rFonts w:eastAsia="Times New Roman"/>
                <w:lang w:val="lt-LT"/>
              </w:rPr>
              <w:t>,</w:t>
            </w:r>
            <w:r w:rsidRPr="00E71BC6">
              <w:rPr>
                <w:rFonts w:eastAsia="Times New Roman"/>
                <w:lang w:val="lt-LT"/>
              </w:rPr>
              <w:t xml:space="preserve"> vežimo</w:t>
            </w:r>
            <w:r w:rsidR="002F7A05">
              <w:rPr>
                <w:rFonts w:eastAsia="Times New Roman"/>
                <w:lang w:val="lt-LT"/>
              </w:rPr>
              <w:t xml:space="preserve"> ir tvarkymo</w:t>
            </w:r>
            <w:r w:rsidRPr="00E71BC6">
              <w:rPr>
                <w:rFonts w:eastAsia="Times New Roman"/>
                <w:lang w:val="lt-LT"/>
              </w:rPr>
              <w:t xml:space="preserve"> veiklą</w:t>
            </w:r>
            <w:r w:rsidR="002F7A05">
              <w:rPr>
                <w:rFonts w:eastAsia="Times New Roman"/>
                <w:lang w:val="lt-LT"/>
              </w:rPr>
              <w:t xml:space="preserve"> pirkimo objekte nurodytoms atliekoms:</w:t>
            </w:r>
          </w:p>
          <w:p w14:paraId="783AE9C2" w14:textId="77777777" w:rsidR="002F7A05" w:rsidRDefault="002F7A05" w:rsidP="00221D40">
            <w:pPr>
              <w:suppressAutoHyphens w:val="0"/>
              <w:spacing w:before="100" w:beforeAutospacing="1" w:after="40"/>
              <w:rPr>
                <w:rFonts w:eastAsia="Times New Roman"/>
                <w:color w:val="000000" w:themeColor="text1"/>
                <w:lang w:val="lt-LT" w:eastAsia="lt-LT"/>
              </w:rPr>
            </w:pPr>
            <w:r w:rsidRPr="002F7A05">
              <w:rPr>
                <w:rFonts w:eastAsia="Times New Roman"/>
                <w:color w:val="000000" w:themeColor="text1"/>
                <w:lang w:val="lt-LT" w:eastAsia="lt-LT"/>
              </w:rPr>
              <w:t>Laboratorinės cheminės medžiagos</w:t>
            </w:r>
            <w:r>
              <w:rPr>
                <w:rFonts w:eastAsia="Times New Roman"/>
                <w:color w:val="000000" w:themeColor="text1"/>
                <w:lang w:val="lt-LT" w:eastAsia="lt-LT"/>
              </w:rPr>
              <w:t>;</w:t>
            </w:r>
          </w:p>
          <w:p w14:paraId="57C6665C" w14:textId="77777777" w:rsidR="002F7A05" w:rsidRDefault="002F7A05" w:rsidP="00221D40">
            <w:pPr>
              <w:suppressAutoHyphens w:val="0"/>
              <w:spacing w:before="100" w:beforeAutospacing="1" w:after="40"/>
              <w:rPr>
                <w:rFonts w:eastAsia="Times New Roman"/>
                <w:color w:val="000000" w:themeColor="text1"/>
                <w:lang w:val="lt-LT" w:eastAsia="lt-LT"/>
              </w:rPr>
            </w:pPr>
            <w:r w:rsidRPr="002F7A05">
              <w:rPr>
                <w:rFonts w:eastAsia="Times New Roman"/>
                <w:color w:val="000000" w:themeColor="text1"/>
                <w:lang w:val="lt-LT" w:eastAsia="lt-LT"/>
              </w:rPr>
              <w:t xml:space="preserve">Dienos šviesos lempos; </w:t>
            </w:r>
          </w:p>
          <w:p w14:paraId="41F8374D" w14:textId="77777777" w:rsidR="002F7A05" w:rsidRDefault="002F7A05" w:rsidP="00221D40">
            <w:pPr>
              <w:suppressAutoHyphens w:val="0"/>
              <w:spacing w:before="100" w:beforeAutospacing="1" w:after="40"/>
              <w:rPr>
                <w:rFonts w:eastAsia="Times New Roman"/>
                <w:color w:val="000000" w:themeColor="text1"/>
                <w:lang w:val="lt-LT" w:eastAsia="lt-LT"/>
              </w:rPr>
            </w:pPr>
            <w:r w:rsidRPr="002F7A05">
              <w:rPr>
                <w:rFonts w:eastAsia="Times New Roman"/>
                <w:color w:val="000000" w:themeColor="text1"/>
                <w:lang w:val="lt-LT" w:eastAsia="lt-LT"/>
              </w:rPr>
              <w:t>Pavojingos sudedamosios dalys iš nenaudojamos įrangos;</w:t>
            </w:r>
          </w:p>
          <w:p w14:paraId="6B685613" w14:textId="77777777" w:rsidR="002F7A05" w:rsidRDefault="002F7A05" w:rsidP="00221D40">
            <w:pPr>
              <w:suppressAutoHyphens w:val="0"/>
              <w:spacing w:before="100" w:beforeAutospacing="1" w:after="40"/>
              <w:rPr>
                <w:rFonts w:eastAsia="Times New Roman"/>
                <w:color w:val="000000" w:themeColor="text1"/>
                <w:lang w:val="lt-LT" w:eastAsia="lt-LT"/>
              </w:rPr>
            </w:pPr>
            <w:r w:rsidRPr="002F7A05">
              <w:rPr>
                <w:rFonts w:eastAsia="Times New Roman"/>
                <w:color w:val="000000" w:themeColor="text1"/>
                <w:lang w:val="lt-LT" w:eastAsia="lt-LT"/>
              </w:rPr>
              <w:t>Filtrų medžiagos, pašluostė</w:t>
            </w:r>
            <w:r>
              <w:rPr>
                <w:rFonts w:eastAsia="Times New Roman"/>
                <w:color w:val="000000" w:themeColor="text1"/>
                <w:lang w:val="lt-LT" w:eastAsia="lt-LT"/>
              </w:rPr>
              <w:t>s</w:t>
            </w:r>
            <w:r w:rsidRPr="002F7A05">
              <w:rPr>
                <w:rFonts w:eastAsia="Times New Roman"/>
                <w:color w:val="000000" w:themeColor="text1"/>
                <w:lang w:val="lt-LT" w:eastAsia="lt-LT"/>
              </w:rPr>
              <w:t xml:space="preserve">; </w:t>
            </w:r>
          </w:p>
          <w:p w14:paraId="37D9F490" w14:textId="5D6AC5DD" w:rsidR="002F7A05" w:rsidRPr="00615993" w:rsidRDefault="002F7A05" w:rsidP="00221D40">
            <w:pPr>
              <w:suppressAutoHyphens w:val="0"/>
              <w:spacing w:before="100" w:beforeAutospacing="1" w:after="40"/>
              <w:rPr>
                <w:rFonts w:eastAsia="Times New Roman"/>
                <w:color w:val="000000" w:themeColor="text1"/>
                <w:lang w:val="lt-LT" w:eastAsia="lt-LT"/>
              </w:rPr>
            </w:pPr>
            <w:r>
              <w:rPr>
                <w:rFonts w:eastAsia="Times New Roman"/>
                <w:color w:val="000000" w:themeColor="text1"/>
                <w:lang w:val="lt-LT" w:eastAsia="lt-LT"/>
              </w:rPr>
              <w:t>A</w:t>
            </w:r>
            <w:r w:rsidRPr="002F7A05">
              <w:rPr>
                <w:rFonts w:eastAsia="Times New Roman"/>
                <w:color w:val="000000" w:themeColor="text1"/>
                <w:lang w:val="lt-LT" w:eastAsia="lt-LT"/>
              </w:rPr>
              <w:t>tliekos su gyvsidabriu</w:t>
            </w:r>
          </w:p>
        </w:tc>
        <w:tc>
          <w:tcPr>
            <w:tcW w:w="4962" w:type="dxa"/>
            <w:vAlign w:val="center"/>
          </w:tcPr>
          <w:p w14:paraId="02A20ED6" w14:textId="77777777" w:rsidR="00221D40" w:rsidRDefault="002F7A05" w:rsidP="00221D40">
            <w:pPr>
              <w:suppressAutoHyphens w:val="0"/>
              <w:spacing w:before="100" w:beforeAutospacing="1" w:after="40"/>
              <w:rPr>
                <w:rFonts w:eastAsia="Times New Roman"/>
                <w:lang w:val="lt-LT"/>
              </w:rPr>
            </w:pPr>
            <w:r>
              <w:rPr>
                <w:rFonts w:eastAsia="Times New Roman"/>
                <w:lang w:val="lt-LT"/>
              </w:rPr>
              <w:t xml:space="preserve">1. </w:t>
            </w:r>
            <w:r w:rsidR="00221D40" w:rsidRPr="00E71BC6">
              <w:rPr>
                <w:rFonts w:eastAsia="Times New Roman"/>
                <w:lang w:val="lt-LT"/>
              </w:rPr>
              <w:t>Tiekėjo deklaracija pasiūlyme</w:t>
            </w:r>
            <w:r w:rsidR="00221D40" w:rsidRPr="00615993">
              <w:rPr>
                <w:rFonts w:eastAsia="Times New Roman"/>
                <w:lang w:val="lt-LT"/>
              </w:rPr>
              <w:t>, nurodant kaip bus tvarkomos perkančiosios organizacijos atliekos. Kas surinks</w:t>
            </w:r>
            <w:r>
              <w:rPr>
                <w:rFonts w:eastAsia="Times New Roman"/>
                <w:lang w:val="lt-LT"/>
              </w:rPr>
              <w:t>.</w:t>
            </w:r>
          </w:p>
          <w:p w14:paraId="3F87F814" w14:textId="7F4A1915" w:rsidR="002F7A05" w:rsidRPr="00615993" w:rsidRDefault="002F7A05" w:rsidP="00221D40">
            <w:pPr>
              <w:suppressAutoHyphens w:val="0"/>
              <w:spacing w:before="100" w:beforeAutospacing="1" w:after="40"/>
              <w:rPr>
                <w:rFonts w:eastAsia="Times New Roman"/>
                <w:color w:val="000000" w:themeColor="text1"/>
                <w:lang w:val="lt-LT" w:eastAsia="lt-LT"/>
              </w:rPr>
            </w:pPr>
            <w:r>
              <w:rPr>
                <w:rFonts w:eastAsia="Times New Roman"/>
                <w:lang w:val="lt-LT"/>
              </w:rPr>
              <w:t xml:space="preserve">2. </w:t>
            </w:r>
            <w:r w:rsidRPr="00E71BC6">
              <w:rPr>
                <w:rFonts w:eastAsia="Times New Roman"/>
                <w:lang w:val="lt-LT"/>
              </w:rPr>
              <w:t>Atliekų tvarkytojų valstybės registr</w:t>
            </w:r>
            <w:r w:rsidR="00AF660D">
              <w:rPr>
                <w:rFonts w:eastAsia="Times New Roman"/>
                <w:lang w:val="lt-LT"/>
              </w:rPr>
              <w:t>o</w:t>
            </w:r>
            <w:r w:rsidRPr="00E71BC6">
              <w:rPr>
                <w:rFonts w:eastAsia="Times New Roman"/>
                <w:lang w:val="lt-LT"/>
              </w:rPr>
              <w:t xml:space="preserve"> (ATVR), veikianči</w:t>
            </w:r>
            <w:r w:rsidR="00AF660D">
              <w:rPr>
                <w:rFonts w:eastAsia="Times New Roman"/>
                <w:lang w:val="lt-LT"/>
              </w:rPr>
              <w:t xml:space="preserve">o </w:t>
            </w:r>
            <w:r w:rsidRPr="00E71BC6">
              <w:rPr>
                <w:rFonts w:eastAsia="Times New Roman"/>
                <w:lang w:val="lt-LT"/>
              </w:rPr>
              <w:t>GPAIS sistemoje</w:t>
            </w:r>
            <w:r w:rsidR="00AF660D">
              <w:rPr>
                <w:rFonts w:eastAsia="Times New Roman"/>
                <w:lang w:val="lt-LT"/>
              </w:rPr>
              <w:t xml:space="preserve">, </w:t>
            </w:r>
            <w:r>
              <w:rPr>
                <w:rFonts w:eastAsia="Times New Roman"/>
                <w:lang w:val="lt-LT"/>
              </w:rPr>
              <w:t>nurodytas atliekas surinkti, išvežti ir tvarkyti patvirtinančios pažymos</w:t>
            </w:r>
          </w:p>
        </w:tc>
      </w:tr>
      <w:tr w:rsidR="002F7A05" w14:paraId="69D8268F" w14:textId="77777777" w:rsidTr="00D53FC0">
        <w:tc>
          <w:tcPr>
            <w:tcW w:w="1129" w:type="dxa"/>
          </w:tcPr>
          <w:p w14:paraId="52E068F0" w14:textId="77777777" w:rsidR="002F7A05" w:rsidRPr="00615993" w:rsidRDefault="002F7A05" w:rsidP="002F7A05">
            <w:pPr>
              <w:suppressAutoHyphens w:val="0"/>
              <w:spacing w:before="100" w:beforeAutospacing="1" w:after="40"/>
              <w:rPr>
                <w:rFonts w:eastAsia="Times New Roman"/>
                <w:lang w:val="lt-LT"/>
              </w:rPr>
            </w:pPr>
          </w:p>
        </w:tc>
        <w:tc>
          <w:tcPr>
            <w:tcW w:w="5103" w:type="dxa"/>
            <w:vAlign w:val="center"/>
          </w:tcPr>
          <w:p w14:paraId="0626B2A8" w14:textId="4BC80BB5" w:rsidR="002F7A05" w:rsidRPr="00615993" w:rsidRDefault="00AF660D" w:rsidP="002F7A05">
            <w:pPr>
              <w:suppressAutoHyphens w:val="0"/>
              <w:spacing w:before="100" w:beforeAutospacing="1" w:after="40"/>
              <w:rPr>
                <w:rFonts w:eastAsia="Times New Roman"/>
                <w:lang w:val="lt-LT"/>
              </w:rPr>
            </w:pPr>
            <w:r>
              <w:rPr>
                <w:rFonts w:eastAsia="Times New Roman"/>
                <w:lang w:val="lt-LT"/>
              </w:rPr>
              <w:t>Pastaba: tiekėjas gali remtis kitų ūkio subjektų pajėgumais.</w:t>
            </w:r>
          </w:p>
        </w:tc>
        <w:tc>
          <w:tcPr>
            <w:tcW w:w="4962" w:type="dxa"/>
            <w:vAlign w:val="center"/>
          </w:tcPr>
          <w:p w14:paraId="15A086FD" w14:textId="57D121B4" w:rsidR="002F7A05" w:rsidRPr="00615993" w:rsidRDefault="00AF660D" w:rsidP="002F7A05">
            <w:pPr>
              <w:suppressAutoHyphens w:val="0"/>
              <w:spacing w:before="100" w:beforeAutospacing="1" w:after="40"/>
              <w:rPr>
                <w:rFonts w:eastAsia="Times New Roman"/>
                <w:lang w:val="lt-LT"/>
              </w:rPr>
            </w:pPr>
            <w:r>
              <w:rPr>
                <w:rFonts w:eastAsia="Times New Roman"/>
                <w:lang w:val="lt-LT"/>
              </w:rPr>
              <w:t>Dokumentai, patvirtinantys, tiekėjo ir kito ūkio subjekto bendradarbiavimą, kuris bus vykdomas vykdant FTMC sutartį</w:t>
            </w:r>
          </w:p>
        </w:tc>
      </w:tr>
    </w:tbl>
    <w:p w14:paraId="6CD38EF9" w14:textId="570CB95E" w:rsidR="00E71BC6" w:rsidRDefault="00E71BC6" w:rsidP="00E71BC6">
      <w:pPr>
        <w:suppressAutoHyphens w:val="0"/>
        <w:spacing w:before="100" w:beforeAutospacing="1" w:after="40"/>
        <w:rPr>
          <w:rFonts w:eastAsia="Times New Roman"/>
          <w:color w:val="000000" w:themeColor="text1"/>
          <w:lang w:val="lt-LT" w:eastAsia="lt-LT"/>
        </w:rPr>
      </w:pPr>
    </w:p>
    <w:p w14:paraId="67E1765F" w14:textId="4E6E5D54" w:rsidR="00F3799D" w:rsidRDefault="00F3799D" w:rsidP="00AF660D">
      <w:pPr>
        <w:suppressAutoHyphens w:val="0"/>
        <w:spacing w:before="100" w:beforeAutospacing="1" w:after="40"/>
        <w:jc w:val="right"/>
        <w:rPr>
          <w:rFonts w:eastAsia="Times New Roman"/>
          <w:color w:val="000000" w:themeColor="text1"/>
          <w:lang w:val="lt-LT" w:eastAsia="lt-LT"/>
        </w:rPr>
      </w:pPr>
    </w:p>
    <w:p w14:paraId="7AFF3DD9" w14:textId="2CF4A1F9" w:rsidR="00AF660D" w:rsidRDefault="00AF660D" w:rsidP="00AF660D">
      <w:pPr>
        <w:suppressAutoHyphens w:val="0"/>
        <w:spacing w:before="100" w:beforeAutospacing="1" w:after="40"/>
        <w:jc w:val="right"/>
        <w:rPr>
          <w:rFonts w:eastAsia="Times New Roman"/>
          <w:color w:val="000000" w:themeColor="text1"/>
          <w:lang w:val="lt-LT" w:eastAsia="lt-LT"/>
        </w:rPr>
      </w:pPr>
    </w:p>
    <w:p w14:paraId="3FF695EA" w14:textId="71E1FE48" w:rsidR="00AF660D" w:rsidRDefault="00AF660D" w:rsidP="00AF660D">
      <w:pPr>
        <w:suppressAutoHyphens w:val="0"/>
        <w:spacing w:before="100" w:beforeAutospacing="1" w:after="40"/>
        <w:jc w:val="right"/>
        <w:rPr>
          <w:rFonts w:eastAsia="Times New Roman"/>
          <w:color w:val="000000" w:themeColor="text1"/>
          <w:lang w:val="lt-LT" w:eastAsia="lt-LT"/>
        </w:rPr>
      </w:pPr>
    </w:p>
    <w:p w14:paraId="05E50CEA" w14:textId="77777777" w:rsidR="00AF660D" w:rsidRPr="00F3799D" w:rsidRDefault="00AF660D" w:rsidP="00AF660D">
      <w:pPr>
        <w:suppressAutoHyphens w:val="0"/>
        <w:spacing w:before="100" w:beforeAutospacing="1" w:after="40"/>
        <w:jc w:val="right"/>
        <w:rPr>
          <w:rFonts w:eastAsia="Times New Roman"/>
          <w:color w:val="000000" w:themeColor="text1"/>
          <w:lang w:val="lt-LT" w:eastAsia="lt-LT"/>
        </w:rPr>
      </w:pPr>
    </w:p>
    <w:p w14:paraId="5B615EAA" w14:textId="3189BEC8" w:rsidR="00E20591" w:rsidRPr="00C647B6" w:rsidRDefault="00E20591" w:rsidP="00E20591">
      <w:pPr>
        <w:suppressAutoHyphens w:val="0"/>
        <w:spacing w:before="100" w:beforeAutospacing="1" w:after="40"/>
        <w:jc w:val="right"/>
        <w:rPr>
          <w:rFonts w:eastAsia="Times New Roman"/>
          <w:color w:val="000000" w:themeColor="text1"/>
          <w:lang w:val="lt-LT" w:eastAsia="lt-LT"/>
        </w:rPr>
      </w:pPr>
      <w:r w:rsidRPr="00C647B6">
        <w:rPr>
          <w:rFonts w:eastAsia="Times New Roman"/>
          <w:color w:val="000000" w:themeColor="text1"/>
          <w:lang w:val="lt-LT" w:eastAsia="lt-LT"/>
        </w:rPr>
        <w:lastRenderedPageBreak/>
        <w:t>1 priedas</w:t>
      </w:r>
    </w:p>
    <w:p w14:paraId="417982D0" w14:textId="77777777" w:rsidR="00E20591" w:rsidRPr="00C647B6" w:rsidRDefault="00E20591" w:rsidP="00E20591">
      <w:pPr>
        <w:pBdr>
          <w:top w:val="nil"/>
          <w:left w:val="nil"/>
          <w:bottom w:val="nil"/>
          <w:right w:val="nil"/>
          <w:between w:val="nil"/>
          <w:bar w:val="nil"/>
        </w:pBdr>
        <w:suppressAutoHyphens w:val="0"/>
        <w:jc w:val="center"/>
        <w:rPr>
          <w:b/>
          <w:bCs/>
          <w:color w:val="000000" w:themeColor="text1"/>
          <w:bdr w:val="nil"/>
          <w:lang w:val="lt-LT" w:eastAsia="lt-LT"/>
        </w:rPr>
      </w:pPr>
    </w:p>
    <w:p w14:paraId="6D9C4458" w14:textId="77777777" w:rsidR="00E20591" w:rsidRPr="00C647B6" w:rsidRDefault="00E20591" w:rsidP="00E20591">
      <w:pPr>
        <w:pBdr>
          <w:top w:val="nil"/>
          <w:left w:val="nil"/>
          <w:bottom w:val="nil"/>
          <w:right w:val="nil"/>
          <w:between w:val="nil"/>
          <w:bar w:val="nil"/>
        </w:pBdr>
        <w:suppressAutoHyphens w:val="0"/>
        <w:jc w:val="center"/>
        <w:rPr>
          <w:b/>
          <w:bdr w:val="nil"/>
          <w:lang w:val="lt-LT"/>
        </w:rPr>
      </w:pPr>
      <w:r w:rsidRPr="00C647B6">
        <w:rPr>
          <w:b/>
          <w:bdr w:val="nil"/>
          <w:lang w:val="lt-LT"/>
        </w:rPr>
        <w:t>TECHNINĖ SPECIFIKACIJA</w:t>
      </w:r>
    </w:p>
    <w:p w14:paraId="7F51AC86" w14:textId="77777777" w:rsidR="00E20591" w:rsidRPr="00C647B6" w:rsidRDefault="00E20591" w:rsidP="00E20591">
      <w:pPr>
        <w:tabs>
          <w:tab w:val="num" w:pos="360"/>
          <w:tab w:val="left" w:pos="720"/>
        </w:tabs>
        <w:suppressAutoHyphens w:val="0"/>
        <w:ind w:firstLine="336"/>
        <w:jc w:val="center"/>
        <w:rPr>
          <w:rFonts w:eastAsia="Times New Roman"/>
          <w:lang w:val="lt-LT"/>
        </w:rPr>
      </w:pPr>
    </w:p>
    <w:p w14:paraId="70DBAE89" w14:textId="552F8136" w:rsidR="00615993" w:rsidRPr="0098533C" w:rsidRDefault="00221D40" w:rsidP="0098533C">
      <w:pPr>
        <w:pStyle w:val="ListParagraph"/>
        <w:numPr>
          <w:ilvl w:val="0"/>
          <w:numId w:val="3"/>
        </w:numPr>
        <w:tabs>
          <w:tab w:val="num" w:pos="360"/>
          <w:tab w:val="left" w:pos="720"/>
        </w:tabs>
        <w:suppressAutoHyphens w:val="0"/>
        <w:rPr>
          <w:rFonts w:eastAsia="Times New Roman"/>
          <w:lang w:val="lt-LT"/>
        </w:rPr>
      </w:pPr>
      <w:r w:rsidRPr="0098533C">
        <w:rPr>
          <w:rFonts w:eastAsia="Times New Roman"/>
          <w:lang w:val="lt-LT"/>
        </w:rPr>
        <w:t xml:space="preserve">Perkančioji organizacija </w:t>
      </w:r>
      <w:r w:rsidR="00615993" w:rsidRPr="0098533C">
        <w:rPr>
          <w:rFonts w:eastAsia="Times New Roman"/>
          <w:lang w:val="lt-LT"/>
        </w:rPr>
        <w:t>–</w:t>
      </w:r>
      <w:r w:rsidRPr="0098533C">
        <w:rPr>
          <w:rFonts w:eastAsia="Times New Roman"/>
          <w:lang w:val="lt-LT"/>
        </w:rPr>
        <w:t xml:space="preserve"> </w:t>
      </w:r>
      <w:r w:rsidR="00615993" w:rsidRPr="0098533C">
        <w:rPr>
          <w:rFonts w:eastAsia="Times New Roman"/>
          <w:lang w:val="lt-LT"/>
        </w:rPr>
        <w:t>Valstybinis mokslinių tyrimų institutas</w:t>
      </w:r>
      <w:r w:rsidR="00E56870" w:rsidRPr="0098533C">
        <w:rPr>
          <w:rFonts w:eastAsia="Times New Roman"/>
          <w:lang w:val="lt-LT"/>
        </w:rPr>
        <w:t xml:space="preserve"> </w:t>
      </w:r>
      <w:r w:rsidR="00615993" w:rsidRPr="0098533C">
        <w:rPr>
          <w:rFonts w:eastAsia="Times New Roman"/>
          <w:lang w:val="lt-LT"/>
        </w:rPr>
        <w:t>Fizinių ir technologijos mokslų centras</w:t>
      </w:r>
      <w:r w:rsidR="00E56870" w:rsidRPr="0098533C">
        <w:rPr>
          <w:rFonts w:eastAsia="Times New Roman"/>
          <w:lang w:val="lt-LT"/>
        </w:rPr>
        <w:t xml:space="preserve"> (toliau – </w:t>
      </w:r>
      <w:r w:rsidR="00E56870" w:rsidRPr="0098533C">
        <w:rPr>
          <w:rFonts w:eastAsia="Times New Roman"/>
          <w:b/>
          <w:bCs/>
          <w:lang w:val="lt-LT"/>
        </w:rPr>
        <w:t>FTMC</w:t>
      </w:r>
      <w:r w:rsidR="00E56870" w:rsidRPr="0098533C">
        <w:rPr>
          <w:rFonts w:eastAsia="Times New Roman"/>
          <w:lang w:val="lt-LT"/>
        </w:rPr>
        <w:t>)</w:t>
      </w:r>
    </w:p>
    <w:p w14:paraId="0C28648E" w14:textId="77777777" w:rsidR="00615993" w:rsidRDefault="00615993" w:rsidP="00615993">
      <w:pPr>
        <w:tabs>
          <w:tab w:val="num" w:pos="360"/>
          <w:tab w:val="left" w:pos="720"/>
        </w:tabs>
        <w:suppressAutoHyphens w:val="0"/>
        <w:ind w:firstLine="336"/>
        <w:rPr>
          <w:rFonts w:eastAsia="Times New Roman"/>
          <w:lang w:val="lt-LT"/>
        </w:rPr>
      </w:pPr>
    </w:p>
    <w:p w14:paraId="0012E2DD" w14:textId="58993FB1" w:rsidR="00E56870" w:rsidRPr="0098533C" w:rsidRDefault="00615993" w:rsidP="0098533C">
      <w:pPr>
        <w:pStyle w:val="ListParagraph"/>
        <w:numPr>
          <w:ilvl w:val="0"/>
          <w:numId w:val="3"/>
        </w:numPr>
        <w:tabs>
          <w:tab w:val="num" w:pos="360"/>
          <w:tab w:val="left" w:pos="720"/>
        </w:tabs>
        <w:suppressAutoHyphens w:val="0"/>
        <w:jc w:val="both"/>
        <w:rPr>
          <w:rFonts w:eastAsia="Times New Roman"/>
          <w:lang w:val="lt-LT"/>
        </w:rPr>
      </w:pPr>
      <w:r w:rsidRPr="0098533C">
        <w:rPr>
          <w:rFonts w:eastAsia="Times New Roman"/>
          <w:lang w:val="lt-LT"/>
        </w:rPr>
        <w:t>Dėl vykdomų mokslinių tyrimų ir laboratorinės veiklos FTMC susidaro įvairios atliekos, būdingos mokslo ir eksperimentinės plėtros veiklai, įskaitant pavojingas atliekas</w:t>
      </w:r>
      <w:r w:rsidR="00E56870" w:rsidRPr="0098533C">
        <w:rPr>
          <w:rFonts w:eastAsia="Times New Roman"/>
          <w:lang w:val="lt-LT"/>
        </w:rPr>
        <w:t xml:space="preserve">. Orientaciniai numanomų susidaryti atliekų kiekiai įvertinti </w:t>
      </w:r>
      <w:r w:rsidR="00AF660D" w:rsidRPr="0098533C">
        <w:rPr>
          <w:rFonts w:eastAsia="Times New Roman"/>
          <w:lang w:val="lt-LT"/>
        </w:rPr>
        <w:t>retrospektyviai, atsižvelgus į istorinę patirtį</w:t>
      </w:r>
      <w:r w:rsidR="00E56870" w:rsidRPr="0098533C">
        <w:rPr>
          <w:rFonts w:eastAsia="Times New Roman"/>
          <w:lang w:val="lt-LT"/>
        </w:rPr>
        <w:t>:</w:t>
      </w:r>
    </w:p>
    <w:p w14:paraId="624F2E5F" w14:textId="77777777" w:rsidR="00E56870" w:rsidRDefault="00E56870" w:rsidP="006A0DC1">
      <w:pPr>
        <w:tabs>
          <w:tab w:val="num" w:pos="360"/>
          <w:tab w:val="left" w:pos="720"/>
        </w:tabs>
        <w:suppressAutoHyphens w:val="0"/>
        <w:ind w:left="284" w:firstLine="52"/>
        <w:jc w:val="both"/>
        <w:rPr>
          <w:rFonts w:eastAsia="Times New Roman"/>
          <w:lang w:val="lt-LT"/>
        </w:rPr>
      </w:pPr>
    </w:p>
    <w:tbl>
      <w:tblPr>
        <w:tblW w:w="9067" w:type="dxa"/>
        <w:tblLook w:val="04A0" w:firstRow="1" w:lastRow="0" w:firstColumn="1" w:lastColumn="0" w:noHBand="0" w:noVBand="1"/>
      </w:tblPr>
      <w:tblGrid>
        <w:gridCol w:w="4480"/>
        <w:gridCol w:w="560"/>
        <w:gridCol w:w="4027"/>
      </w:tblGrid>
      <w:tr w:rsidR="00AF660D" w:rsidRPr="00AF660D" w14:paraId="26126695" w14:textId="77777777" w:rsidTr="00D53FC0">
        <w:trPr>
          <w:trHeight w:val="1632"/>
        </w:trPr>
        <w:tc>
          <w:tcPr>
            <w:tcW w:w="4480" w:type="dxa"/>
            <w:tcBorders>
              <w:top w:val="single" w:sz="4" w:space="0" w:color="auto"/>
              <w:left w:val="single" w:sz="4" w:space="0" w:color="auto"/>
              <w:bottom w:val="nil"/>
              <w:right w:val="nil"/>
            </w:tcBorders>
            <w:shd w:val="clear" w:color="auto" w:fill="auto"/>
            <w:vAlign w:val="center"/>
            <w:hideMark/>
          </w:tcPr>
          <w:p w14:paraId="3C325FDC" w14:textId="4B31940A" w:rsidR="00AF660D" w:rsidRPr="00AF660D" w:rsidRDefault="00AF660D" w:rsidP="00AF660D">
            <w:pPr>
              <w:suppressAutoHyphens w:val="0"/>
              <w:rPr>
                <w:rFonts w:ascii="Calibri" w:eastAsia="Times New Roman" w:hAnsi="Calibri" w:cs="Calibri"/>
                <w:color w:val="000000"/>
                <w:sz w:val="20"/>
                <w:szCs w:val="20"/>
                <w:lang w:val="lt-LT"/>
              </w:rPr>
            </w:pPr>
            <w:r w:rsidRPr="00AF660D">
              <w:rPr>
                <w:rFonts w:ascii="Calibri" w:eastAsia="Times New Roman" w:hAnsi="Calibri" w:cs="Calibri"/>
                <w:color w:val="000000"/>
                <w:sz w:val="20"/>
                <w:szCs w:val="20"/>
                <w:lang w:val="lt-LT"/>
              </w:rPr>
              <w:t>Pavojinga atlieka</w:t>
            </w:r>
          </w:p>
        </w:tc>
        <w:tc>
          <w:tcPr>
            <w:tcW w:w="560" w:type="dxa"/>
            <w:tcBorders>
              <w:top w:val="single" w:sz="4" w:space="0" w:color="auto"/>
              <w:left w:val="nil"/>
              <w:bottom w:val="nil"/>
              <w:right w:val="single" w:sz="4" w:space="0" w:color="auto"/>
            </w:tcBorders>
            <w:shd w:val="clear" w:color="auto" w:fill="auto"/>
            <w:noWrap/>
            <w:vAlign w:val="bottom"/>
            <w:hideMark/>
          </w:tcPr>
          <w:p w14:paraId="73944732" w14:textId="77777777" w:rsidR="00AF660D" w:rsidRPr="00AF660D" w:rsidRDefault="00AF660D" w:rsidP="00AF660D">
            <w:pPr>
              <w:suppressAutoHyphens w:val="0"/>
              <w:rPr>
                <w:rFonts w:ascii="Calibri" w:eastAsia="Times New Roman" w:hAnsi="Calibri" w:cs="Calibri"/>
                <w:color w:val="000000"/>
                <w:sz w:val="20"/>
                <w:szCs w:val="20"/>
                <w:lang w:val="lt-LT"/>
              </w:rPr>
            </w:pPr>
            <w:r w:rsidRPr="00AF660D">
              <w:rPr>
                <w:rFonts w:ascii="Calibri" w:eastAsia="Times New Roman" w:hAnsi="Calibri" w:cs="Calibri"/>
                <w:color w:val="000000"/>
                <w:sz w:val="20"/>
                <w:szCs w:val="20"/>
                <w:lang w:val="lt-LT"/>
              </w:rPr>
              <w:t> </w:t>
            </w:r>
          </w:p>
        </w:tc>
        <w:tc>
          <w:tcPr>
            <w:tcW w:w="40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9332D9" w14:textId="4A4B22FC" w:rsidR="00AF660D" w:rsidRPr="00AF660D" w:rsidRDefault="00AF660D" w:rsidP="00AF660D">
            <w:pPr>
              <w:suppressAutoHyphens w:val="0"/>
              <w:jc w:val="center"/>
              <w:rPr>
                <w:rFonts w:ascii="Calibri" w:eastAsia="Times New Roman" w:hAnsi="Calibri" w:cs="Calibri"/>
                <w:color w:val="000000"/>
                <w:sz w:val="20"/>
                <w:szCs w:val="20"/>
                <w:lang w:val="lt-LT"/>
              </w:rPr>
            </w:pPr>
            <w:r w:rsidRPr="00AF660D">
              <w:rPr>
                <w:rFonts w:ascii="Calibri" w:eastAsia="Times New Roman" w:hAnsi="Calibri" w:cs="Calibri"/>
                <w:color w:val="000000"/>
                <w:sz w:val="20"/>
                <w:szCs w:val="20"/>
                <w:lang w:val="lt-LT"/>
              </w:rPr>
              <w:t>Orientacinis kiekis pavojingų atliekų kiekis, kg, numatomas išvežti sutvarkyti per vienerius metus laiko, naudojamas bendros kainos palyginimui su kitų tiekėjų kainomis</w:t>
            </w:r>
          </w:p>
        </w:tc>
      </w:tr>
      <w:tr w:rsidR="00AF660D" w:rsidRPr="00AF660D" w14:paraId="6E144E39" w14:textId="77777777" w:rsidTr="00D53FC0">
        <w:trPr>
          <w:trHeight w:val="510"/>
        </w:trPr>
        <w:tc>
          <w:tcPr>
            <w:tcW w:w="50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F61B00" w14:textId="77777777" w:rsidR="00AF660D" w:rsidRPr="00AF660D" w:rsidRDefault="00AF660D" w:rsidP="00AF660D">
            <w:pPr>
              <w:suppressAutoHyphens w:val="0"/>
              <w:rPr>
                <w:rFonts w:ascii="Calibri" w:eastAsia="Times New Roman" w:hAnsi="Calibri" w:cs="Calibri"/>
                <w:color w:val="000000"/>
                <w:sz w:val="22"/>
                <w:szCs w:val="22"/>
                <w:lang w:val="lt-LT"/>
              </w:rPr>
            </w:pPr>
            <w:r w:rsidRPr="00AF660D">
              <w:rPr>
                <w:rFonts w:ascii="Calibri" w:eastAsia="Times New Roman" w:hAnsi="Calibri" w:cs="Calibri"/>
                <w:color w:val="000000"/>
                <w:sz w:val="22"/>
                <w:szCs w:val="22"/>
                <w:lang w:val="lt-LT"/>
              </w:rPr>
              <w:t>Laboratorinių cheminių medžiagų tvarkymas</w:t>
            </w:r>
          </w:p>
        </w:tc>
        <w:tc>
          <w:tcPr>
            <w:tcW w:w="4027" w:type="dxa"/>
            <w:tcBorders>
              <w:top w:val="nil"/>
              <w:left w:val="nil"/>
              <w:bottom w:val="single" w:sz="4" w:space="0" w:color="auto"/>
              <w:right w:val="single" w:sz="4" w:space="0" w:color="auto"/>
            </w:tcBorders>
            <w:shd w:val="clear" w:color="auto" w:fill="auto"/>
            <w:vAlign w:val="center"/>
            <w:hideMark/>
          </w:tcPr>
          <w:p w14:paraId="6871BAB3" w14:textId="77777777" w:rsidR="00AF660D" w:rsidRPr="00AF660D" w:rsidRDefault="00AF660D" w:rsidP="00AF660D">
            <w:pPr>
              <w:suppressAutoHyphens w:val="0"/>
              <w:spacing w:line="300" w:lineRule="atLeast"/>
              <w:jc w:val="right"/>
              <w:rPr>
                <w:rFonts w:ascii="Calibri" w:eastAsia="Times New Roman" w:hAnsi="Calibri" w:cs="Calibri"/>
                <w:color w:val="000000"/>
                <w:sz w:val="22"/>
                <w:szCs w:val="22"/>
                <w:lang w:val="lt-LT"/>
              </w:rPr>
            </w:pPr>
            <w:r w:rsidRPr="00AF660D">
              <w:rPr>
                <w:rFonts w:ascii="Calibri" w:eastAsia="Times New Roman" w:hAnsi="Calibri" w:cs="Calibri"/>
                <w:color w:val="000000"/>
                <w:sz w:val="22"/>
                <w:szCs w:val="22"/>
                <w:lang w:val="lt-LT"/>
              </w:rPr>
              <w:t>2500,00</w:t>
            </w:r>
          </w:p>
        </w:tc>
      </w:tr>
      <w:tr w:rsidR="00AF660D" w:rsidRPr="00AF660D" w14:paraId="7BF9D479" w14:textId="77777777" w:rsidTr="00D53FC0">
        <w:trPr>
          <w:trHeight w:val="510"/>
        </w:trPr>
        <w:tc>
          <w:tcPr>
            <w:tcW w:w="50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09E1D0" w14:textId="77777777" w:rsidR="00AF660D" w:rsidRPr="00AF660D" w:rsidRDefault="00AF660D" w:rsidP="00AF660D">
            <w:pPr>
              <w:suppressAutoHyphens w:val="0"/>
              <w:rPr>
                <w:rFonts w:ascii="Calibri" w:eastAsia="Times New Roman" w:hAnsi="Calibri" w:cs="Calibri"/>
                <w:color w:val="000000"/>
                <w:sz w:val="22"/>
                <w:szCs w:val="22"/>
                <w:lang w:val="lt-LT"/>
              </w:rPr>
            </w:pPr>
            <w:r w:rsidRPr="00AF660D">
              <w:rPr>
                <w:rFonts w:ascii="Calibri" w:eastAsia="Times New Roman" w:hAnsi="Calibri" w:cs="Calibri"/>
                <w:color w:val="000000"/>
                <w:sz w:val="22"/>
                <w:szCs w:val="22"/>
                <w:lang w:val="lt-LT"/>
              </w:rPr>
              <w:t>Dienos šviesos lempų tvarkymas</w:t>
            </w:r>
          </w:p>
        </w:tc>
        <w:tc>
          <w:tcPr>
            <w:tcW w:w="4027" w:type="dxa"/>
            <w:tcBorders>
              <w:top w:val="nil"/>
              <w:left w:val="nil"/>
              <w:bottom w:val="single" w:sz="4" w:space="0" w:color="auto"/>
              <w:right w:val="single" w:sz="4" w:space="0" w:color="auto"/>
            </w:tcBorders>
            <w:shd w:val="clear" w:color="auto" w:fill="auto"/>
            <w:vAlign w:val="center"/>
            <w:hideMark/>
          </w:tcPr>
          <w:p w14:paraId="2AC8FF60" w14:textId="77777777" w:rsidR="00AF660D" w:rsidRPr="00AF660D" w:rsidRDefault="00AF660D" w:rsidP="00AF660D">
            <w:pPr>
              <w:suppressAutoHyphens w:val="0"/>
              <w:jc w:val="right"/>
              <w:rPr>
                <w:rFonts w:ascii="Calibri" w:eastAsia="Times New Roman" w:hAnsi="Calibri" w:cs="Calibri"/>
                <w:color w:val="000000"/>
                <w:sz w:val="22"/>
                <w:szCs w:val="22"/>
                <w:lang w:val="lt-LT"/>
              </w:rPr>
            </w:pPr>
            <w:r w:rsidRPr="00AF660D">
              <w:rPr>
                <w:rFonts w:ascii="Calibri" w:eastAsia="Times New Roman" w:hAnsi="Calibri" w:cs="Calibri"/>
                <w:color w:val="000000"/>
                <w:sz w:val="22"/>
                <w:szCs w:val="22"/>
                <w:lang w:val="lt-LT"/>
              </w:rPr>
              <w:t>5,00</w:t>
            </w:r>
          </w:p>
        </w:tc>
      </w:tr>
      <w:tr w:rsidR="00AF660D" w:rsidRPr="00AF660D" w14:paraId="787862BF" w14:textId="77777777" w:rsidTr="00D53FC0">
        <w:trPr>
          <w:trHeight w:val="510"/>
        </w:trPr>
        <w:tc>
          <w:tcPr>
            <w:tcW w:w="50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59148D" w14:textId="77777777" w:rsidR="00AF660D" w:rsidRPr="00AF660D" w:rsidRDefault="00AF660D" w:rsidP="00AF660D">
            <w:pPr>
              <w:suppressAutoHyphens w:val="0"/>
              <w:rPr>
                <w:rFonts w:ascii="Calibri" w:eastAsia="Times New Roman" w:hAnsi="Calibri" w:cs="Calibri"/>
                <w:color w:val="000000"/>
                <w:sz w:val="22"/>
                <w:szCs w:val="22"/>
                <w:lang w:val="lt-LT"/>
              </w:rPr>
            </w:pPr>
            <w:r w:rsidRPr="00AF660D">
              <w:rPr>
                <w:rFonts w:ascii="Calibri" w:eastAsia="Times New Roman" w:hAnsi="Calibri" w:cs="Calibri"/>
                <w:color w:val="000000"/>
                <w:sz w:val="22"/>
                <w:szCs w:val="22"/>
                <w:lang w:val="lt-LT"/>
              </w:rPr>
              <w:t>Pavojingų sudedamųjų dalių iš nenaudojamos įrangos tvarkymas</w:t>
            </w:r>
          </w:p>
        </w:tc>
        <w:tc>
          <w:tcPr>
            <w:tcW w:w="4027" w:type="dxa"/>
            <w:tcBorders>
              <w:top w:val="nil"/>
              <w:left w:val="nil"/>
              <w:bottom w:val="single" w:sz="4" w:space="0" w:color="auto"/>
              <w:right w:val="single" w:sz="4" w:space="0" w:color="auto"/>
            </w:tcBorders>
            <w:shd w:val="clear" w:color="auto" w:fill="auto"/>
            <w:vAlign w:val="center"/>
            <w:hideMark/>
          </w:tcPr>
          <w:p w14:paraId="01F393C3" w14:textId="77777777" w:rsidR="00AF660D" w:rsidRPr="00AF660D" w:rsidRDefault="00AF660D" w:rsidP="00AF660D">
            <w:pPr>
              <w:suppressAutoHyphens w:val="0"/>
              <w:jc w:val="right"/>
              <w:rPr>
                <w:rFonts w:ascii="Calibri" w:eastAsia="Times New Roman" w:hAnsi="Calibri" w:cs="Calibri"/>
                <w:color w:val="000000"/>
                <w:sz w:val="22"/>
                <w:szCs w:val="22"/>
                <w:lang w:val="lt-LT"/>
              </w:rPr>
            </w:pPr>
            <w:r w:rsidRPr="00AF660D">
              <w:rPr>
                <w:rFonts w:ascii="Calibri" w:eastAsia="Times New Roman" w:hAnsi="Calibri" w:cs="Calibri"/>
                <w:color w:val="000000"/>
                <w:sz w:val="22"/>
                <w:szCs w:val="22"/>
                <w:lang w:val="lt-LT"/>
              </w:rPr>
              <w:t>20,00</w:t>
            </w:r>
          </w:p>
        </w:tc>
      </w:tr>
      <w:tr w:rsidR="00AF660D" w:rsidRPr="00AF660D" w14:paraId="10DA9F2B" w14:textId="77777777" w:rsidTr="00D53FC0">
        <w:trPr>
          <w:trHeight w:val="510"/>
        </w:trPr>
        <w:tc>
          <w:tcPr>
            <w:tcW w:w="50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714176" w14:textId="77777777" w:rsidR="00AF660D" w:rsidRPr="00AF660D" w:rsidRDefault="00AF660D" w:rsidP="00AF660D">
            <w:pPr>
              <w:suppressAutoHyphens w:val="0"/>
              <w:rPr>
                <w:rFonts w:ascii="Calibri" w:eastAsia="Times New Roman" w:hAnsi="Calibri" w:cs="Calibri"/>
                <w:color w:val="000000"/>
                <w:sz w:val="22"/>
                <w:szCs w:val="22"/>
                <w:lang w:val="lt-LT"/>
              </w:rPr>
            </w:pPr>
            <w:r w:rsidRPr="00AF660D">
              <w:rPr>
                <w:rFonts w:ascii="Calibri" w:eastAsia="Times New Roman" w:hAnsi="Calibri" w:cs="Calibri"/>
                <w:color w:val="000000"/>
                <w:sz w:val="22"/>
                <w:szCs w:val="22"/>
                <w:lang w:val="lt-LT"/>
              </w:rPr>
              <w:t>Filtrų medžiagų, pašluosčių tvarkymas</w:t>
            </w:r>
          </w:p>
        </w:tc>
        <w:tc>
          <w:tcPr>
            <w:tcW w:w="4027" w:type="dxa"/>
            <w:tcBorders>
              <w:top w:val="nil"/>
              <w:left w:val="nil"/>
              <w:bottom w:val="single" w:sz="4" w:space="0" w:color="auto"/>
              <w:right w:val="single" w:sz="4" w:space="0" w:color="auto"/>
            </w:tcBorders>
            <w:shd w:val="clear" w:color="auto" w:fill="auto"/>
            <w:vAlign w:val="center"/>
            <w:hideMark/>
          </w:tcPr>
          <w:p w14:paraId="543F061E" w14:textId="77777777" w:rsidR="00AF660D" w:rsidRPr="00AF660D" w:rsidRDefault="00AF660D" w:rsidP="00AF660D">
            <w:pPr>
              <w:suppressAutoHyphens w:val="0"/>
              <w:jc w:val="right"/>
              <w:rPr>
                <w:rFonts w:ascii="Calibri" w:eastAsia="Times New Roman" w:hAnsi="Calibri" w:cs="Calibri"/>
                <w:color w:val="000000"/>
                <w:sz w:val="22"/>
                <w:szCs w:val="22"/>
                <w:lang w:val="lt-LT"/>
              </w:rPr>
            </w:pPr>
            <w:r w:rsidRPr="00AF660D">
              <w:rPr>
                <w:rFonts w:ascii="Calibri" w:eastAsia="Times New Roman" w:hAnsi="Calibri" w:cs="Calibri"/>
                <w:color w:val="000000"/>
                <w:sz w:val="22"/>
                <w:szCs w:val="22"/>
                <w:lang w:val="lt-LT"/>
              </w:rPr>
              <w:t>100,00</w:t>
            </w:r>
          </w:p>
        </w:tc>
      </w:tr>
      <w:tr w:rsidR="00AF660D" w:rsidRPr="00AF660D" w14:paraId="2DE49C4B" w14:textId="77777777" w:rsidTr="00D53FC0">
        <w:trPr>
          <w:trHeight w:val="510"/>
        </w:trPr>
        <w:tc>
          <w:tcPr>
            <w:tcW w:w="50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18E82C" w14:textId="77777777" w:rsidR="00AF660D" w:rsidRPr="00AF660D" w:rsidRDefault="00AF660D" w:rsidP="00AF660D">
            <w:pPr>
              <w:suppressAutoHyphens w:val="0"/>
              <w:rPr>
                <w:rFonts w:ascii="Calibri" w:eastAsia="Times New Roman" w:hAnsi="Calibri" w:cs="Calibri"/>
                <w:color w:val="000000"/>
                <w:sz w:val="22"/>
                <w:szCs w:val="22"/>
                <w:lang w:val="lt-LT"/>
              </w:rPr>
            </w:pPr>
            <w:r w:rsidRPr="00AF660D">
              <w:rPr>
                <w:rFonts w:ascii="Calibri" w:eastAsia="Times New Roman" w:hAnsi="Calibri" w:cs="Calibri"/>
                <w:color w:val="000000"/>
                <w:sz w:val="22"/>
                <w:szCs w:val="22"/>
                <w:lang w:val="lt-LT"/>
              </w:rPr>
              <w:t>Atliekų su gyvsidabriu tvarkymas</w:t>
            </w:r>
          </w:p>
        </w:tc>
        <w:tc>
          <w:tcPr>
            <w:tcW w:w="4027" w:type="dxa"/>
            <w:tcBorders>
              <w:top w:val="nil"/>
              <w:left w:val="nil"/>
              <w:bottom w:val="single" w:sz="4" w:space="0" w:color="auto"/>
              <w:right w:val="single" w:sz="4" w:space="0" w:color="auto"/>
            </w:tcBorders>
            <w:shd w:val="clear" w:color="auto" w:fill="auto"/>
            <w:vAlign w:val="center"/>
            <w:hideMark/>
          </w:tcPr>
          <w:p w14:paraId="00AAA766" w14:textId="77777777" w:rsidR="00AF660D" w:rsidRPr="00AF660D" w:rsidRDefault="00AF660D" w:rsidP="00AF660D">
            <w:pPr>
              <w:suppressAutoHyphens w:val="0"/>
              <w:jc w:val="right"/>
              <w:rPr>
                <w:rFonts w:ascii="Calibri" w:eastAsia="Times New Roman" w:hAnsi="Calibri" w:cs="Calibri"/>
                <w:color w:val="000000"/>
                <w:sz w:val="22"/>
                <w:szCs w:val="22"/>
                <w:lang w:val="lt-LT"/>
              </w:rPr>
            </w:pPr>
            <w:r w:rsidRPr="00AF660D">
              <w:rPr>
                <w:rFonts w:ascii="Calibri" w:eastAsia="Times New Roman" w:hAnsi="Calibri" w:cs="Calibri"/>
                <w:color w:val="000000"/>
                <w:sz w:val="22"/>
                <w:szCs w:val="22"/>
                <w:lang w:val="lt-LT"/>
              </w:rPr>
              <w:t>50,00</w:t>
            </w:r>
          </w:p>
        </w:tc>
      </w:tr>
    </w:tbl>
    <w:p w14:paraId="52A5C50D" w14:textId="3F89FB22" w:rsidR="00221D40" w:rsidRDefault="00221D40" w:rsidP="00E56870">
      <w:pPr>
        <w:tabs>
          <w:tab w:val="num" w:pos="360"/>
          <w:tab w:val="left" w:pos="720"/>
        </w:tabs>
        <w:suppressAutoHyphens w:val="0"/>
        <w:ind w:firstLine="336"/>
        <w:jc w:val="both"/>
        <w:rPr>
          <w:rFonts w:eastAsia="Times New Roman"/>
          <w:lang w:val="lt-LT"/>
        </w:rPr>
      </w:pPr>
    </w:p>
    <w:p w14:paraId="2B741C2C" w14:textId="0526B3FC" w:rsidR="00AF660D" w:rsidRDefault="00AF660D" w:rsidP="00E56870">
      <w:pPr>
        <w:tabs>
          <w:tab w:val="num" w:pos="360"/>
          <w:tab w:val="left" w:pos="720"/>
        </w:tabs>
        <w:suppressAutoHyphens w:val="0"/>
        <w:ind w:firstLine="336"/>
        <w:jc w:val="both"/>
        <w:rPr>
          <w:rFonts w:eastAsia="Times New Roman"/>
          <w:lang w:val="lt-LT"/>
        </w:rPr>
      </w:pPr>
      <w:r>
        <w:rPr>
          <w:rFonts w:eastAsia="Times New Roman"/>
          <w:lang w:val="lt-LT"/>
        </w:rPr>
        <w:t>Pastaba: t</w:t>
      </w:r>
      <w:r w:rsidRPr="002F7A05">
        <w:rPr>
          <w:rFonts w:eastAsia="Times New Roman"/>
          <w:lang w:val="lt-LT"/>
        </w:rPr>
        <w:t>ikslūs atliekų kiekiai</w:t>
      </w:r>
      <w:r>
        <w:rPr>
          <w:rFonts w:eastAsia="Times New Roman"/>
          <w:lang w:val="lt-LT"/>
        </w:rPr>
        <w:t xml:space="preserve">, </w:t>
      </w:r>
      <w:r w:rsidRPr="002F7A05">
        <w:rPr>
          <w:rFonts w:eastAsia="Times New Roman"/>
          <w:lang w:val="lt-LT"/>
        </w:rPr>
        <w:t xml:space="preserve">kurie susidarys per numatomus 3 </w:t>
      </w:r>
      <w:r>
        <w:rPr>
          <w:rFonts w:eastAsia="Times New Roman"/>
          <w:lang w:val="lt-LT"/>
        </w:rPr>
        <w:t xml:space="preserve">metus </w:t>
      </w:r>
      <w:r w:rsidRPr="002F7A05">
        <w:rPr>
          <w:rFonts w:eastAsia="Times New Roman"/>
          <w:lang w:val="lt-LT"/>
        </w:rPr>
        <w:t>nėra žinomi. Istorinės analizės aspektu yra apskaičiuoti orientaciniai susidarančių atliekų kiekiai (Laboratorinės cheminės medžiagos ~2000 kg/metus; Dienos šviesos lempos 5 kg / metus; Pavojingos sudedamosios dalys iš nenaudojamos įrangos ~20 kg / metus; Filtrų medžiagos, pašluostės ~100 kg; Atliekos su gyvsidabriu ~50 kg. Tikslūs kiekiai bus apskaičiuojami sutarties vykdymo metu dalyvaujant tiekėjo ir perkančiosios organizacijos atstovams pasveriant atliekas prieš jas išvežant</w:t>
      </w:r>
      <w:r>
        <w:rPr>
          <w:rFonts w:eastAsia="Times New Roman"/>
          <w:lang w:val="lt-LT"/>
        </w:rPr>
        <w:t xml:space="preserve">. Paslaugos apima ir į kainą turi būti įskaičiuota </w:t>
      </w:r>
      <w:r w:rsidRPr="00C647B6">
        <w:rPr>
          <w:rFonts w:eastAsia="Times New Roman"/>
          <w:lang w:val="lt-LT"/>
        </w:rPr>
        <w:t>surinkimas, pervežimas, sutvarkymas ir deklaravimas atliekų apskaitos informacinėje sistemoje (GPAIS)</w:t>
      </w:r>
      <w:r>
        <w:rPr>
          <w:rFonts w:eastAsia="Times New Roman"/>
          <w:lang w:val="lt-LT"/>
        </w:rPr>
        <w:t xml:space="preserve"> ir visa kita kaip numato Lietuvos Respublikos teisės aktų reikalavimai</w:t>
      </w:r>
    </w:p>
    <w:p w14:paraId="2954105F" w14:textId="77777777" w:rsidR="006A0DC1" w:rsidRDefault="006A0DC1" w:rsidP="00E20591">
      <w:pPr>
        <w:tabs>
          <w:tab w:val="num" w:pos="360"/>
          <w:tab w:val="left" w:pos="720"/>
        </w:tabs>
        <w:suppressAutoHyphens w:val="0"/>
        <w:ind w:firstLine="336"/>
        <w:rPr>
          <w:rFonts w:eastAsia="Times New Roman"/>
          <w:lang w:val="lt-LT"/>
        </w:rPr>
      </w:pPr>
    </w:p>
    <w:p w14:paraId="7B549DFE" w14:textId="6488BE59" w:rsidR="00E20591" w:rsidRPr="0098533C" w:rsidRDefault="00E20591" w:rsidP="0098533C">
      <w:pPr>
        <w:pStyle w:val="ListParagraph"/>
        <w:numPr>
          <w:ilvl w:val="0"/>
          <w:numId w:val="3"/>
        </w:numPr>
        <w:tabs>
          <w:tab w:val="num" w:pos="360"/>
          <w:tab w:val="left" w:pos="720"/>
        </w:tabs>
        <w:suppressAutoHyphens w:val="0"/>
        <w:spacing w:before="100" w:beforeAutospacing="1" w:line="360" w:lineRule="auto"/>
        <w:ind w:left="692" w:hanging="357"/>
        <w:rPr>
          <w:rFonts w:eastAsia="Times New Roman"/>
        </w:rPr>
      </w:pPr>
      <w:r w:rsidRPr="0098533C">
        <w:rPr>
          <w:rFonts w:eastAsia="Times New Roman"/>
          <w:lang w:val="lt-LT"/>
        </w:rPr>
        <w:lastRenderedPageBreak/>
        <w:t>Cheminės atliekos: rūgštys, druskos, šarmai (ir jų tirpalai), metalų oksidai</w:t>
      </w:r>
      <w:r w:rsidR="006A0DC1" w:rsidRPr="0098533C">
        <w:rPr>
          <w:rFonts w:eastAsia="Times New Roman"/>
          <w:lang w:val="lt-LT"/>
        </w:rPr>
        <w:t>.</w:t>
      </w:r>
    </w:p>
    <w:p w14:paraId="5EB2F338" w14:textId="0B45CC50" w:rsidR="00C841A5" w:rsidRPr="0098533C" w:rsidRDefault="00C841A5" w:rsidP="0098533C">
      <w:pPr>
        <w:pStyle w:val="ListParagraph"/>
        <w:numPr>
          <w:ilvl w:val="0"/>
          <w:numId w:val="3"/>
        </w:numPr>
        <w:tabs>
          <w:tab w:val="num" w:pos="360"/>
          <w:tab w:val="left" w:pos="720"/>
        </w:tabs>
        <w:suppressAutoHyphens w:val="0"/>
        <w:spacing w:before="100" w:beforeAutospacing="1" w:after="100" w:afterAutospacing="1" w:line="360" w:lineRule="auto"/>
        <w:rPr>
          <w:rFonts w:eastAsia="Times New Roman"/>
          <w:lang w:val="lt-LT"/>
        </w:rPr>
      </w:pPr>
      <w:r w:rsidRPr="0098533C">
        <w:rPr>
          <w:rFonts w:eastAsia="Times New Roman"/>
          <w:lang w:val="lt-LT"/>
        </w:rPr>
        <w:t>Atliekų surinkimo adresai: Saulėtekio al. 3 Vilnius, Akademijos g. 7 Vilnius, Savanorių pr. 231 Vilnius.</w:t>
      </w:r>
    </w:p>
    <w:p w14:paraId="3A105851" w14:textId="627DF904" w:rsidR="00E20591" w:rsidRPr="0098533C" w:rsidRDefault="00E20591" w:rsidP="0098533C">
      <w:pPr>
        <w:pStyle w:val="ListParagraph"/>
        <w:numPr>
          <w:ilvl w:val="0"/>
          <w:numId w:val="3"/>
        </w:numPr>
        <w:tabs>
          <w:tab w:val="num" w:pos="360"/>
          <w:tab w:val="left" w:pos="720"/>
        </w:tabs>
        <w:suppressAutoHyphens w:val="0"/>
        <w:spacing w:before="100" w:beforeAutospacing="1" w:after="100" w:afterAutospacing="1" w:line="360" w:lineRule="auto"/>
        <w:rPr>
          <w:rFonts w:eastAsia="Times New Roman"/>
          <w:lang w:val="lt-LT"/>
        </w:rPr>
      </w:pPr>
      <w:bookmarkStart w:id="1" w:name="_Hlk227584396"/>
      <w:bookmarkStart w:id="2" w:name="_Hlk227584532"/>
      <w:r w:rsidRPr="0098533C">
        <w:rPr>
          <w:rFonts w:eastAsia="Times New Roman"/>
          <w:lang w:val="lt-LT"/>
        </w:rPr>
        <w:t>Atliekų sutvarkymo terminas</w:t>
      </w:r>
      <w:r w:rsidR="00AF660D" w:rsidRPr="0098533C">
        <w:rPr>
          <w:rFonts w:eastAsia="Times New Roman"/>
          <w:lang w:val="lt-LT"/>
        </w:rPr>
        <w:t>: 2 kartus per metus, tiekėjas atvyksta į Pirkėjo nurodytą objektą (1 iš 3 adresų; viso galimi 6 važiavimai</w:t>
      </w:r>
      <w:r w:rsidR="002C32FC">
        <w:rPr>
          <w:rFonts w:eastAsia="Times New Roman"/>
          <w:lang w:val="lt-LT"/>
        </w:rPr>
        <w:t xml:space="preserve"> (po 2 atvažiavimus į kiekvieną objektą</w:t>
      </w:r>
      <w:r w:rsidR="00AF660D" w:rsidRPr="0098533C">
        <w:rPr>
          <w:rFonts w:eastAsia="Times New Roman"/>
          <w:lang w:val="lt-LT"/>
        </w:rPr>
        <w:t>)</w:t>
      </w:r>
      <w:r w:rsidR="0098533C" w:rsidRPr="0098533C">
        <w:rPr>
          <w:rFonts w:eastAsia="Times New Roman"/>
          <w:lang w:val="lt-LT"/>
        </w:rPr>
        <w:t xml:space="preserve"> pranešus tiekėjo atsakingam asmeniui el. paštu </w:t>
      </w:r>
      <w:r w:rsidR="00AF660D" w:rsidRPr="0098533C">
        <w:rPr>
          <w:rFonts w:eastAsia="Times New Roman"/>
          <w:lang w:val="lt-LT"/>
        </w:rPr>
        <w:t xml:space="preserve">ne vėliau nei prieš </w:t>
      </w:r>
      <w:r w:rsidR="0098533C" w:rsidRPr="0098533C">
        <w:rPr>
          <w:rFonts w:eastAsia="Times New Roman"/>
          <w:lang w:val="lt-LT"/>
        </w:rPr>
        <w:t>5 darbo dienas</w:t>
      </w:r>
      <w:r w:rsidR="00AF660D" w:rsidRPr="0098533C">
        <w:rPr>
          <w:rFonts w:eastAsia="Times New Roman"/>
          <w:lang w:val="lt-LT"/>
        </w:rPr>
        <w:t xml:space="preserve"> </w:t>
      </w:r>
      <w:r w:rsidR="0098533C" w:rsidRPr="0098533C">
        <w:rPr>
          <w:rFonts w:eastAsia="Times New Roman"/>
          <w:lang w:val="lt-LT"/>
        </w:rPr>
        <w:t>iki atliekų išvežimo dienos</w:t>
      </w:r>
      <w:bookmarkEnd w:id="1"/>
      <w:r w:rsidRPr="0098533C">
        <w:rPr>
          <w:rFonts w:eastAsia="Times New Roman"/>
          <w:lang w:val="lt-LT"/>
        </w:rPr>
        <w:t>.</w:t>
      </w:r>
    </w:p>
    <w:bookmarkEnd w:id="2"/>
    <w:p w14:paraId="2018ED79" w14:textId="56CEF01A" w:rsidR="00E20591" w:rsidRPr="0098533C" w:rsidRDefault="00E20591" w:rsidP="0098533C">
      <w:pPr>
        <w:pStyle w:val="ListParagraph"/>
        <w:numPr>
          <w:ilvl w:val="0"/>
          <w:numId w:val="3"/>
        </w:numPr>
        <w:tabs>
          <w:tab w:val="num" w:pos="360"/>
        </w:tabs>
        <w:suppressAutoHyphens w:val="0"/>
        <w:spacing w:before="100" w:beforeAutospacing="1" w:after="100" w:afterAutospacing="1" w:line="360" w:lineRule="auto"/>
        <w:rPr>
          <w:rFonts w:eastAsia="Times New Roman"/>
          <w:lang w:val="lt-LT"/>
        </w:rPr>
      </w:pPr>
      <w:r w:rsidRPr="0098533C">
        <w:rPr>
          <w:rFonts w:eastAsia="Times New Roman"/>
          <w:lang w:val="lt-LT"/>
        </w:rPr>
        <w:t>Paslaugos bus užsakomos ir perkamos pagal Užsakovo poreikį. Užsakovas neįsipareigoja išpirkti viso nurodyto orientacinio kiekio.</w:t>
      </w:r>
    </w:p>
    <w:p w14:paraId="765290EA" w14:textId="122853CE" w:rsidR="00E20591" w:rsidRDefault="00E20591" w:rsidP="0098533C">
      <w:pPr>
        <w:pStyle w:val="ListParagraph"/>
        <w:numPr>
          <w:ilvl w:val="0"/>
          <w:numId w:val="3"/>
        </w:numPr>
        <w:tabs>
          <w:tab w:val="num" w:pos="360"/>
        </w:tabs>
        <w:suppressAutoHyphens w:val="0"/>
        <w:spacing w:before="100" w:beforeAutospacing="1" w:after="100" w:afterAutospacing="1" w:line="360" w:lineRule="auto"/>
        <w:ind w:left="692" w:hanging="357"/>
        <w:rPr>
          <w:rFonts w:eastAsia="Times New Roman"/>
          <w:lang w:val="lt-LT"/>
        </w:rPr>
      </w:pPr>
      <w:r w:rsidRPr="0098533C">
        <w:rPr>
          <w:rFonts w:eastAsia="Times New Roman"/>
          <w:lang w:val="lt-LT"/>
        </w:rPr>
        <w:t>Po utilizavimo darbų</w:t>
      </w:r>
      <w:r w:rsidR="0098533C" w:rsidRPr="0098533C">
        <w:rPr>
          <w:rFonts w:eastAsia="Times New Roman"/>
          <w:lang w:val="lt-LT"/>
        </w:rPr>
        <w:t xml:space="preserve"> tiekėjas turi pateikti dokumentus a</w:t>
      </w:r>
      <w:r w:rsidRPr="0098533C">
        <w:rPr>
          <w:rFonts w:eastAsia="Times New Roman"/>
          <w:lang w:val="lt-LT"/>
        </w:rPr>
        <w:t>pie medžiagų galutinį sutvarkymą</w:t>
      </w:r>
      <w:r w:rsidR="00C841A5" w:rsidRPr="0098533C">
        <w:rPr>
          <w:rFonts w:eastAsia="Times New Roman"/>
          <w:lang w:val="lt-LT"/>
        </w:rPr>
        <w:t>.</w:t>
      </w:r>
    </w:p>
    <w:p w14:paraId="656F24E5" w14:textId="77777777" w:rsidR="0098533C" w:rsidRPr="0098533C" w:rsidRDefault="0098533C" w:rsidP="0098533C">
      <w:pPr>
        <w:pStyle w:val="ListParagraph"/>
        <w:numPr>
          <w:ilvl w:val="0"/>
          <w:numId w:val="3"/>
        </w:numPr>
        <w:suppressAutoHyphens w:val="0"/>
        <w:spacing w:before="100" w:beforeAutospacing="1" w:after="100" w:afterAutospacing="1" w:line="360" w:lineRule="auto"/>
        <w:ind w:left="692" w:hanging="357"/>
        <w:jc w:val="both"/>
        <w:rPr>
          <w:rFonts w:eastAsia="Times New Roman"/>
          <w:color w:val="000000" w:themeColor="text1"/>
          <w:lang w:val="lt-LT" w:eastAsia="lt-LT"/>
        </w:rPr>
      </w:pPr>
      <w:r>
        <w:rPr>
          <w:noProof/>
          <w:lang w:val="lt-LT"/>
        </w:rPr>
        <w:t>Sutartis sudaroma elektroniniu būdu šalims pasirašant elektroniniais parašais.</w:t>
      </w:r>
    </w:p>
    <w:p w14:paraId="73E763AB" w14:textId="19BF377F" w:rsidR="0098533C" w:rsidRPr="003008A4" w:rsidRDefault="0098533C" w:rsidP="0098533C">
      <w:pPr>
        <w:pStyle w:val="ListParagraph"/>
        <w:numPr>
          <w:ilvl w:val="0"/>
          <w:numId w:val="3"/>
        </w:numPr>
        <w:suppressAutoHyphens w:val="0"/>
        <w:spacing w:before="100" w:beforeAutospacing="1" w:after="100" w:afterAutospacing="1" w:line="360" w:lineRule="auto"/>
        <w:ind w:left="692" w:hanging="357"/>
        <w:jc w:val="both"/>
        <w:rPr>
          <w:rFonts w:eastAsia="Times New Roman"/>
          <w:color w:val="000000" w:themeColor="text1"/>
          <w:lang w:val="lt-LT" w:eastAsia="lt-LT"/>
        </w:rPr>
      </w:pPr>
      <w:r w:rsidRPr="0098533C">
        <w:rPr>
          <w:rFonts w:eastAsia="Times New Roman"/>
          <w:b/>
          <w:bCs/>
          <w:lang w:val="lt-LT"/>
        </w:rPr>
        <w:t>Sutarties trukmė</w:t>
      </w:r>
      <w:r w:rsidRPr="0098533C">
        <w:rPr>
          <w:rFonts w:eastAsia="Times New Roman"/>
          <w:lang w:val="lt-LT"/>
        </w:rPr>
        <w:t xml:space="preserve">: </w:t>
      </w:r>
      <w:r>
        <w:rPr>
          <w:noProof/>
        </w:rPr>
        <w:t xml:space="preserve">Sutartis galioja 12 mėn. Likus ne mažiau nei 2 mėn. iki 12 mėn. laikotarpio pabaigos, bet kuri šalis turi teisę oficialiu raštu išreikšti valią nepratęsti sutarties. Nesant šalių prieštaravimų, paslaugų teikimo laikotarpis be papildomų rašytinių sutikimų prasitęsia vis naujiems 12 mėn. laikotarpiams, </w:t>
      </w:r>
      <w:r w:rsidRPr="0098533C">
        <w:rPr>
          <w:b/>
          <w:bCs/>
          <w:noProof/>
        </w:rPr>
        <w:t>tačiau ne ilgiau nei bendram 36 mėn. terminui</w:t>
      </w:r>
      <w:r>
        <w:rPr>
          <w:noProof/>
        </w:rPr>
        <w:t xml:space="preserve"> ir ne ilgiau nei bus pasiekta 50000 € be PVM sutarties vertė.</w:t>
      </w:r>
    </w:p>
    <w:p w14:paraId="57C0C4FF" w14:textId="5E4A4035" w:rsidR="003008A4" w:rsidRPr="003008A4" w:rsidRDefault="003008A4" w:rsidP="00236B0F">
      <w:pPr>
        <w:pStyle w:val="ListParagraph"/>
        <w:numPr>
          <w:ilvl w:val="0"/>
          <w:numId w:val="3"/>
        </w:numPr>
        <w:suppressAutoHyphens w:val="0"/>
        <w:spacing w:before="100" w:beforeAutospacing="1" w:after="100" w:afterAutospacing="1" w:line="360" w:lineRule="auto"/>
        <w:jc w:val="both"/>
        <w:rPr>
          <w:rFonts w:eastAsia="Times New Roman"/>
          <w:color w:val="000000" w:themeColor="text1"/>
          <w:lang w:val="lt-LT" w:eastAsia="lt-LT"/>
        </w:rPr>
      </w:pPr>
      <w:r w:rsidRPr="003008A4">
        <w:rPr>
          <w:rFonts w:eastAsia="Times New Roman"/>
          <w:b/>
          <w:bCs/>
          <w:color w:val="000000" w:themeColor="text1"/>
          <w:lang w:val="lt-LT" w:eastAsia="lt-LT"/>
        </w:rPr>
        <w:t>Paslaugų kainos gali būti perskaičiuojamos</w:t>
      </w:r>
      <w:r w:rsidRPr="003008A4">
        <w:rPr>
          <w:rFonts w:eastAsia="Times New Roman"/>
          <w:color w:val="000000" w:themeColor="text1"/>
          <w:lang w:val="lt-LT" w:eastAsia="lt-LT"/>
        </w:rPr>
        <w:t xml:space="preserve"> ne dažniau kaip vieną kartą per 12 (dvylika) mėnesių nuo sutarties įsigaliojimo dienos. Kainos perskaičiuojamos pagal Valstybės duomenų agentūros Oficialiosios statistikos portale skelbiamą paslaugų kainų indeksą (PKI), taikomą paslaugų veiklai bendrai, kai atskiras paslaugų kainų indeksas atliekų rinkimo, apdorojimo ir šalinimo veiklai (pagal EVRK 2, 38 skyrių) viešai neskelbiamas. Kainos perskaičiuojamos palyginant bazinio laikotarpio paslaugų kainų indekso reikšmę su perskaičiavimo laikotarpio paslaugų kainų indekso reikšme. Kainų perskaičiavimas nėra automatinis</w:t>
      </w:r>
      <w:r>
        <w:rPr>
          <w:rFonts w:eastAsia="Times New Roman"/>
          <w:color w:val="000000" w:themeColor="text1"/>
          <w:lang w:val="lt-LT" w:eastAsia="lt-LT"/>
        </w:rPr>
        <w:t xml:space="preserve"> ir taikomas</w:t>
      </w:r>
      <w:r w:rsidRPr="003008A4">
        <w:rPr>
          <w:rFonts w:eastAsia="Times New Roman"/>
          <w:color w:val="000000" w:themeColor="text1"/>
          <w:lang w:val="lt-LT" w:eastAsia="lt-LT"/>
        </w:rPr>
        <w:t xml:space="preserve"> įsigaliojus rašytiniam šalių susitarimui dėl sutarties pakeitimo</w:t>
      </w:r>
      <w:r>
        <w:rPr>
          <w:rFonts w:eastAsia="Times New Roman"/>
          <w:color w:val="000000" w:themeColor="text1"/>
          <w:lang w:val="lt-LT" w:eastAsia="lt-LT"/>
        </w:rPr>
        <w:t>.</w:t>
      </w:r>
    </w:p>
    <w:p w14:paraId="0EE78857" w14:textId="77777777" w:rsidR="0098533C" w:rsidRPr="0098533C" w:rsidRDefault="0098533C" w:rsidP="0098533C">
      <w:pPr>
        <w:pStyle w:val="ListParagraph"/>
        <w:numPr>
          <w:ilvl w:val="0"/>
          <w:numId w:val="3"/>
        </w:numPr>
        <w:suppressAutoHyphens w:val="0"/>
        <w:spacing w:before="100" w:beforeAutospacing="1" w:after="100" w:afterAutospacing="1" w:line="360" w:lineRule="auto"/>
        <w:ind w:left="692" w:hanging="357"/>
        <w:jc w:val="both"/>
        <w:rPr>
          <w:rFonts w:eastAsia="Times New Roman"/>
          <w:color w:val="000000" w:themeColor="text1"/>
          <w:lang w:val="lt-LT" w:eastAsia="lt-LT"/>
        </w:rPr>
      </w:pPr>
      <w:r>
        <w:rPr>
          <w:rFonts w:eastAsia="HG Mincho Light J"/>
          <w:noProof/>
          <w:color w:val="000000"/>
          <w:lang w:val="lt-LT"/>
        </w:rPr>
        <w:t>Apmokėjimas atliekamas pagal pateiktas sąskaitas-faktūras per 20 darbo dienų nuo sąskaitos-faktūros pateikimo per SABIS dienos.</w:t>
      </w:r>
    </w:p>
    <w:p w14:paraId="2F819972" w14:textId="68F5D590" w:rsidR="00E20591" w:rsidRPr="0098533C" w:rsidRDefault="00E20591" w:rsidP="0098533C">
      <w:pPr>
        <w:pStyle w:val="ListParagraph"/>
        <w:numPr>
          <w:ilvl w:val="0"/>
          <w:numId w:val="3"/>
        </w:numPr>
        <w:tabs>
          <w:tab w:val="num" w:pos="360"/>
          <w:tab w:val="left" w:pos="720"/>
        </w:tabs>
        <w:suppressAutoHyphens w:val="0"/>
        <w:spacing w:before="100" w:beforeAutospacing="1" w:after="100" w:afterAutospacing="1" w:line="360" w:lineRule="auto"/>
        <w:ind w:left="692" w:hanging="357"/>
        <w:rPr>
          <w:rFonts w:eastAsia="Times New Roman"/>
          <w:lang w:val="lt-LT"/>
        </w:rPr>
      </w:pPr>
      <w:r w:rsidRPr="0098533C">
        <w:rPr>
          <w:rFonts w:eastAsia="Times New Roman"/>
          <w:lang w:val="lt-LT"/>
        </w:rPr>
        <w:t>Paslaugos teikėjas privalo laiku, profesionaliai ir kokybiškai suteikti užsakovui paslaugas.</w:t>
      </w:r>
    </w:p>
    <w:p w14:paraId="19E873B2" w14:textId="27AEA7D4" w:rsidR="00E20591" w:rsidRPr="0098533C" w:rsidRDefault="00E20591" w:rsidP="0098533C">
      <w:pPr>
        <w:pStyle w:val="ListParagraph"/>
        <w:numPr>
          <w:ilvl w:val="0"/>
          <w:numId w:val="3"/>
        </w:numPr>
        <w:tabs>
          <w:tab w:val="num" w:pos="360"/>
          <w:tab w:val="left" w:pos="720"/>
        </w:tabs>
        <w:suppressAutoHyphens w:val="0"/>
        <w:spacing w:before="100" w:beforeAutospacing="1" w:after="100" w:afterAutospacing="1" w:line="360" w:lineRule="auto"/>
        <w:ind w:left="692" w:hanging="357"/>
        <w:rPr>
          <w:rFonts w:eastAsia="Times New Roman"/>
          <w:lang w:val="lt-LT"/>
        </w:rPr>
      </w:pPr>
      <w:r w:rsidRPr="0098533C">
        <w:rPr>
          <w:rFonts w:eastAsia="Times New Roman"/>
          <w:lang w:val="lt-LT"/>
        </w:rPr>
        <w:lastRenderedPageBreak/>
        <w:t>Paslaugos teikėjas privalo vykdyti Lietuvos Respublikos įstatymų, tarptautinių susitarimų, Lietuvos Respublikos Vyriausybės nutarimų, Lietuvos Respublikos aplinkos ministro įsakymų ir kitų susijusių bei galiojančių teisės aktų reikalavimus, reglamentuojančius aplinkos apsaugą ir paslaugos teikimą.</w:t>
      </w:r>
    </w:p>
    <w:p w14:paraId="15BDF713" w14:textId="6869491B" w:rsidR="00E20591" w:rsidRPr="0098533C" w:rsidRDefault="00E20591" w:rsidP="0098533C">
      <w:pPr>
        <w:pStyle w:val="ListParagraph"/>
        <w:numPr>
          <w:ilvl w:val="0"/>
          <w:numId w:val="3"/>
        </w:numPr>
        <w:tabs>
          <w:tab w:val="num" w:pos="360"/>
          <w:tab w:val="left" w:pos="720"/>
        </w:tabs>
        <w:suppressAutoHyphens w:val="0"/>
        <w:spacing w:before="100" w:beforeAutospacing="1" w:after="100" w:afterAutospacing="1" w:line="360" w:lineRule="auto"/>
        <w:ind w:left="692" w:hanging="357"/>
        <w:rPr>
          <w:rFonts w:eastAsia="Times New Roman"/>
          <w:lang w:val="lt-LT"/>
        </w:rPr>
      </w:pPr>
      <w:r w:rsidRPr="0098533C">
        <w:rPr>
          <w:rFonts w:eastAsia="Times New Roman"/>
          <w:lang w:val="lt-LT"/>
        </w:rPr>
        <w:t>Paslaugos teikėjas atsako už atliekų apdorojimą pagal galiojančių teisės aktų reikalavimus.</w:t>
      </w:r>
      <w:bookmarkEnd w:id="0"/>
    </w:p>
    <w:p w14:paraId="52A2D340" w14:textId="77777777" w:rsidR="0098533C" w:rsidRDefault="0098533C" w:rsidP="0098533C">
      <w:pPr>
        <w:ind w:firstLine="426"/>
        <w:jc w:val="both"/>
        <w:rPr>
          <w:b/>
          <w:bCs/>
          <w:noProof/>
          <w:lang w:val="lt-LT"/>
        </w:rPr>
      </w:pPr>
    </w:p>
    <w:p w14:paraId="4A0B082D" w14:textId="097E24AE" w:rsidR="0098533C" w:rsidRPr="0098533C" w:rsidRDefault="0098533C" w:rsidP="0098533C">
      <w:pPr>
        <w:pStyle w:val="ListParagraph"/>
        <w:numPr>
          <w:ilvl w:val="0"/>
          <w:numId w:val="3"/>
        </w:numPr>
        <w:jc w:val="both"/>
        <w:rPr>
          <w:rFonts w:eastAsia="Lucida Sans Unicode"/>
          <w:b/>
          <w:bCs/>
          <w:noProof/>
          <w:lang w:val="lt-LT"/>
        </w:rPr>
      </w:pPr>
      <w:r w:rsidRPr="0098533C">
        <w:rPr>
          <w:b/>
          <w:bCs/>
          <w:noProof/>
          <w:lang w:val="lt-LT"/>
        </w:rPr>
        <w:t>Duomenų apsauga</w:t>
      </w:r>
      <w:r w:rsidRPr="0098533C">
        <w:rPr>
          <w:rFonts w:eastAsia="Lucida Sans Unicode"/>
          <w:b/>
          <w:bCs/>
          <w:noProof/>
          <w:lang w:val="lt-LT"/>
        </w:rPr>
        <w:t xml:space="preserve">. </w:t>
      </w:r>
      <w:r w:rsidRPr="0098533C">
        <w:rPr>
          <w:rFonts w:eastAsia="Arial"/>
          <w:lang w:val="lt-LT"/>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4458EF3" w14:textId="77777777" w:rsidR="0098533C" w:rsidRDefault="0098533C" w:rsidP="0098533C">
      <w:pPr>
        <w:jc w:val="both"/>
        <w:rPr>
          <w:rFonts w:eastAsia="Lucida Sans Unicode"/>
          <w:noProof/>
          <w:lang w:val="lt-LT"/>
        </w:rPr>
      </w:pPr>
    </w:p>
    <w:p w14:paraId="1B89C9A2" w14:textId="77777777" w:rsidR="0098533C" w:rsidRDefault="0098533C" w:rsidP="0098533C">
      <w:pPr>
        <w:jc w:val="both"/>
        <w:rPr>
          <w:noProof/>
          <w:lang w:val="lt-LT"/>
        </w:rPr>
      </w:pPr>
    </w:p>
    <w:p w14:paraId="10091F06" w14:textId="72D808B4" w:rsidR="0098533C" w:rsidRPr="0098533C" w:rsidRDefault="0098533C" w:rsidP="0098533C">
      <w:pPr>
        <w:pStyle w:val="ListParagraph"/>
        <w:widowControl w:val="0"/>
        <w:numPr>
          <w:ilvl w:val="0"/>
          <w:numId w:val="3"/>
        </w:numPr>
        <w:tabs>
          <w:tab w:val="left" w:pos="851"/>
        </w:tabs>
        <w:jc w:val="both"/>
        <w:rPr>
          <w:noProof/>
          <w:lang w:val="lt-LT"/>
        </w:rPr>
      </w:pPr>
      <w:r w:rsidRPr="0098533C">
        <w:rPr>
          <w:b/>
          <w:bCs/>
          <w:lang w:val="lt-LT"/>
        </w:rPr>
        <w:t>Žaliųjų pirkimų reikalavimai</w:t>
      </w:r>
      <w:r w:rsidRPr="0098533C">
        <w:rPr>
          <w:lang w:val="lt-LT"/>
        </w:rPr>
        <w:t>. Siekiant sumažinti poveikį aplinkai,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 (aktuali redakcija).</w:t>
      </w:r>
    </w:p>
    <w:p w14:paraId="593C6944" w14:textId="77777777" w:rsidR="0098533C" w:rsidRDefault="0098533C" w:rsidP="00C841A5">
      <w:pPr>
        <w:tabs>
          <w:tab w:val="num" w:pos="360"/>
          <w:tab w:val="left" w:pos="720"/>
        </w:tabs>
        <w:suppressAutoHyphens w:val="0"/>
        <w:spacing w:line="360" w:lineRule="auto"/>
        <w:ind w:firstLine="336"/>
        <w:rPr>
          <w:rFonts w:eastAsia="Times New Roman"/>
          <w:lang w:val="lt-LT"/>
        </w:rPr>
      </w:pPr>
    </w:p>
    <w:p w14:paraId="7E009C72" w14:textId="1866BA7A" w:rsidR="00C841A5" w:rsidRDefault="00C841A5" w:rsidP="00C841A5">
      <w:pPr>
        <w:tabs>
          <w:tab w:val="num" w:pos="360"/>
          <w:tab w:val="left" w:pos="720"/>
        </w:tabs>
        <w:suppressAutoHyphens w:val="0"/>
        <w:spacing w:line="360" w:lineRule="auto"/>
        <w:ind w:firstLine="336"/>
        <w:rPr>
          <w:rFonts w:eastAsia="Times New Roman"/>
          <w:lang w:val="lt-LT"/>
        </w:rPr>
      </w:pPr>
      <w:r>
        <w:rPr>
          <w:rFonts w:eastAsia="Times New Roman"/>
          <w:lang w:val="lt-LT"/>
        </w:rPr>
        <w:t>_________________________________________________________</w:t>
      </w:r>
    </w:p>
    <w:p w14:paraId="3337C744" w14:textId="77777777" w:rsidR="00CC30E3" w:rsidRDefault="00CC30E3"/>
    <w:sectPr w:rsidR="00CC30E3" w:rsidSect="00221D40">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G Mincho Light J">
    <w:altName w:val="Times New Roman"/>
    <w:charset w:val="BA"/>
    <w:family w:val="auto"/>
    <w:pitch w:val="variable"/>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C4319"/>
    <w:multiLevelType w:val="hybridMultilevel"/>
    <w:tmpl w:val="844CD054"/>
    <w:lvl w:ilvl="0" w:tplc="DD1E6096">
      <w:start w:val="1"/>
      <w:numFmt w:val="decimal"/>
      <w:lvlText w:val="%1."/>
      <w:lvlJc w:val="left"/>
      <w:pPr>
        <w:ind w:left="696" w:hanging="360"/>
      </w:pPr>
      <w:rPr>
        <w:rFonts w:hint="default"/>
        <w:b w:val="0"/>
        <w:bCs w:val="0"/>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1" w15:restartNumberingAfterBreak="0">
    <w:nsid w:val="450A5D0F"/>
    <w:multiLevelType w:val="multilevel"/>
    <w:tmpl w:val="92683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7178E9"/>
    <w:multiLevelType w:val="hybridMultilevel"/>
    <w:tmpl w:val="69BCE89A"/>
    <w:lvl w:ilvl="0" w:tplc="B39C1EAA">
      <w:start w:val="8"/>
      <w:numFmt w:val="decimal"/>
      <w:lvlText w:val="%1."/>
      <w:lvlJc w:val="left"/>
      <w:pPr>
        <w:tabs>
          <w:tab w:val="num" w:pos="900"/>
        </w:tabs>
        <w:ind w:left="900" w:hanging="360"/>
      </w:pPr>
    </w:lvl>
    <w:lvl w:ilvl="1" w:tplc="04270019">
      <w:start w:val="1"/>
      <w:numFmt w:val="lowerLetter"/>
      <w:lvlText w:val="%2."/>
      <w:lvlJc w:val="left"/>
      <w:pPr>
        <w:tabs>
          <w:tab w:val="num" w:pos="1620"/>
        </w:tabs>
        <w:ind w:left="1620" w:hanging="360"/>
      </w:pPr>
    </w:lvl>
    <w:lvl w:ilvl="2" w:tplc="0427001B">
      <w:start w:val="1"/>
      <w:numFmt w:val="lowerRoman"/>
      <w:lvlText w:val="%3."/>
      <w:lvlJc w:val="right"/>
      <w:pPr>
        <w:tabs>
          <w:tab w:val="num" w:pos="2340"/>
        </w:tabs>
        <w:ind w:left="2340" w:hanging="180"/>
      </w:pPr>
    </w:lvl>
    <w:lvl w:ilvl="3" w:tplc="0427000F">
      <w:start w:val="1"/>
      <w:numFmt w:val="decimal"/>
      <w:lvlText w:val="%4."/>
      <w:lvlJc w:val="left"/>
      <w:pPr>
        <w:tabs>
          <w:tab w:val="num" w:pos="3060"/>
        </w:tabs>
        <w:ind w:left="3060" w:hanging="360"/>
      </w:pPr>
    </w:lvl>
    <w:lvl w:ilvl="4" w:tplc="04270019">
      <w:start w:val="1"/>
      <w:numFmt w:val="lowerLetter"/>
      <w:lvlText w:val="%5."/>
      <w:lvlJc w:val="left"/>
      <w:pPr>
        <w:tabs>
          <w:tab w:val="num" w:pos="3780"/>
        </w:tabs>
        <w:ind w:left="3780" w:hanging="360"/>
      </w:pPr>
    </w:lvl>
    <w:lvl w:ilvl="5" w:tplc="0427001B">
      <w:start w:val="1"/>
      <w:numFmt w:val="lowerRoman"/>
      <w:lvlText w:val="%6."/>
      <w:lvlJc w:val="right"/>
      <w:pPr>
        <w:tabs>
          <w:tab w:val="num" w:pos="4500"/>
        </w:tabs>
        <w:ind w:left="4500" w:hanging="180"/>
      </w:pPr>
    </w:lvl>
    <w:lvl w:ilvl="6" w:tplc="0427000F">
      <w:start w:val="1"/>
      <w:numFmt w:val="decimal"/>
      <w:lvlText w:val="%7."/>
      <w:lvlJc w:val="left"/>
      <w:pPr>
        <w:tabs>
          <w:tab w:val="num" w:pos="5220"/>
        </w:tabs>
        <w:ind w:left="5220" w:hanging="360"/>
      </w:pPr>
    </w:lvl>
    <w:lvl w:ilvl="7" w:tplc="04270019">
      <w:start w:val="1"/>
      <w:numFmt w:val="lowerLetter"/>
      <w:lvlText w:val="%8."/>
      <w:lvlJc w:val="left"/>
      <w:pPr>
        <w:tabs>
          <w:tab w:val="num" w:pos="5940"/>
        </w:tabs>
        <w:ind w:left="5940" w:hanging="360"/>
      </w:pPr>
    </w:lvl>
    <w:lvl w:ilvl="8" w:tplc="0427001B">
      <w:start w:val="1"/>
      <w:numFmt w:val="lowerRoman"/>
      <w:lvlText w:val="%9."/>
      <w:lvlJc w:val="right"/>
      <w:pPr>
        <w:tabs>
          <w:tab w:val="num" w:pos="6660"/>
        </w:tabs>
        <w:ind w:left="6660" w:hanging="180"/>
      </w:pPr>
    </w:lvl>
  </w:abstractNum>
  <w:num w:numId="1">
    <w:abstractNumId w:val="1"/>
  </w:num>
  <w:num w:numId="2">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591"/>
    <w:rsid w:val="00186CE2"/>
    <w:rsid w:val="00221D40"/>
    <w:rsid w:val="002B0451"/>
    <w:rsid w:val="002C32FC"/>
    <w:rsid w:val="002F7A05"/>
    <w:rsid w:val="003008A4"/>
    <w:rsid w:val="004311D2"/>
    <w:rsid w:val="00615993"/>
    <w:rsid w:val="006A0DC1"/>
    <w:rsid w:val="008C7782"/>
    <w:rsid w:val="0098533C"/>
    <w:rsid w:val="00AF660D"/>
    <w:rsid w:val="00C478EC"/>
    <w:rsid w:val="00C841A5"/>
    <w:rsid w:val="00CC30E3"/>
    <w:rsid w:val="00D53FC0"/>
    <w:rsid w:val="00DB55F4"/>
    <w:rsid w:val="00E20591"/>
    <w:rsid w:val="00E56870"/>
    <w:rsid w:val="00E71BC6"/>
    <w:rsid w:val="00F3799D"/>
    <w:rsid w:val="00FF4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246DB"/>
  <w15:chartTrackingRefBased/>
  <w15:docId w15:val="{117A9D07-D31E-4B13-9454-5F62B14E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591"/>
    <w:pPr>
      <w:suppressAutoHyphens/>
      <w:spacing w:after="0" w:line="240" w:lineRule="auto"/>
    </w:pPr>
    <w:rPr>
      <w:rFonts w:ascii="Times New Roman" w:eastAsia="Arial Unicode MS"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E20591"/>
    <w:pPr>
      <w:spacing w:beforeAutospacing="1" w:afterAutospacing="1"/>
    </w:pPr>
    <w:rPr>
      <w:rFonts w:eastAsia="Times New Roman"/>
      <w:lang w:val="lt-LT" w:eastAsia="lt-LT"/>
    </w:rPr>
  </w:style>
  <w:style w:type="character" w:styleId="Strong">
    <w:name w:val="Strong"/>
    <w:basedOn w:val="DefaultParagraphFont"/>
    <w:uiPriority w:val="22"/>
    <w:qFormat/>
    <w:rsid w:val="00E71BC6"/>
    <w:rPr>
      <w:b/>
      <w:bCs/>
    </w:rPr>
  </w:style>
  <w:style w:type="table" w:styleId="TableGrid">
    <w:name w:val="Table Grid"/>
    <w:basedOn w:val="TableNormal"/>
    <w:uiPriority w:val="39"/>
    <w:rsid w:val="00221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7A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12973">
      <w:bodyDiv w:val="1"/>
      <w:marLeft w:val="0"/>
      <w:marRight w:val="0"/>
      <w:marTop w:val="0"/>
      <w:marBottom w:val="0"/>
      <w:divBdr>
        <w:top w:val="none" w:sz="0" w:space="0" w:color="auto"/>
        <w:left w:val="none" w:sz="0" w:space="0" w:color="auto"/>
        <w:bottom w:val="none" w:sz="0" w:space="0" w:color="auto"/>
        <w:right w:val="none" w:sz="0" w:space="0" w:color="auto"/>
      </w:divBdr>
    </w:div>
    <w:div w:id="262342324">
      <w:bodyDiv w:val="1"/>
      <w:marLeft w:val="0"/>
      <w:marRight w:val="0"/>
      <w:marTop w:val="0"/>
      <w:marBottom w:val="0"/>
      <w:divBdr>
        <w:top w:val="none" w:sz="0" w:space="0" w:color="auto"/>
        <w:left w:val="none" w:sz="0" w:space="0" w:color="auto"/>
        <w:bottom w:val="none" w:sz="0" w:space="0" w:color="auto"/>
        <w:right w:val="none" w:sz="0" w:space="0" w:color="auto"/>
      </w:divBdr>
    </w:div>
    <w:div w:id="301858910">
      <w:bodyDiv w:val="1"/>
      <w:marLeft w:val="0"/>
      <w:marRight w:val="0"/>
      <w:marTop w:val="0"/>
      <w:marBottom w:val="0"/>
      <w:divBdr>
        <w:top w:val="none" w:sz="0" w:space="0" w:color="auto"/>
        <w:left w:val="none" w:sz="0" w:space="0" w:color="auto"/>
        <w:bottom w:val="none" w:sz="0" w:space="0" w:color="auto"/>
        <w:right w:val="none" w:sz="0" w:space="0" w:color="auto"/>
      </w:divBdr>
      <w:divsChild>
        <w:div w:id="654993442">
          <w:marLeft w:val="0"/>
          <w:marRight w:val="0"/>
          <w:marTop w:val="0"/>
          <w:marBottom w:val="0"/>
          <w:divBdr>
            <w:top w:val="none" w:sz="0" w:space="0" w:color="auto"/>
            <w:left w:val="none" w:sz="0" w:space="0" w:color="auto"/>
            <w:bottom w:val="none" w:sz="0" w:space="0" w:color="auto"/>
            <w:right w:val="none" w:sz="0" w:space="0" w:color="auto"/>
          </w:divBdr>
        </w:div>
      </w:divsChild>
    </w:div>
    <w:div w:id="333386413">
      <w:bodyDiv w:val="1"/>
      <w:marLeft w:val="0"/>
      <w:marRight w:val="0"/>
      <w:marTop w:val="0"/>
      <w:marBottom w:val="0"/>
      <w:divBdr>
        <w:top w:val="none" w:sz="0" w:space="0" w:color="auto"/>
        <w:left w:val="none" w:sz="0" w:space="0" w:color="auto"/>
        <w:bottom w:val="none" w:sz="0" w:space="0" w:color="auto"/>
        <w:right w:val="none" w:sz="0" w:space="0" w:color="auto"/>
      </w:divBdr>
      <w:divsChild>
        <w:div w:id="1100250798">
          <w:marLeft w:val="0"/>
          <w:marRight w:val="0"/>
          <w:marTop w:val="0"/>
          <w:marBottom w:val="0"/>
          <w:divBdr>
            <w:top w:val="none" w:sz="0" w:space="0" w:color="auto"/>
            <w:left w:val="none" w:sz="0" w:space="0" w:color="auto"/>
            <w:bottom w:val="none" w:sz="0" w:space="0" w:color="auto"/>
            <w:right w:val="none" w:sz="0" w:space="0" w:color="auto"/>
          </w:divBdr>
        </w:div>
      </w:divsChild>
    </w:div>
    <w:div w:id="580722470">
      <w:bodyDiv w:val="1"/>
      <w:marLeft w:val="0"/>
      <w:marRight w:val="0"/>
      <w:marTop w:val="0"/>
      <w:marBottom w:val="0"/>
      <w:divBdr>
        <w:top w:val="none" w:sz="0" w:space="0" w:color="auto"/>
        <w:left w:val="none" w:sz="0" w:space="0" w:color="auto"/>
        <w:bottom w:val="none" w:sz="0" w:space="0" w:color="auto"/>
        <w:right w:val="none" w:sz="0" w:space="0" w:color="auto"/>
      </w:divBdr>
      <w:divsChild>
        <w:div w:id="849412320">
          <w:marLeft w:val="0"/>
          <w:marRight w:val="0"/>
          <w:marTop w:val="0"/>
          <w:marBottom w:val="0"/>
          <w:divBdr>
            <w:top w:val="none" w:sz="0" w:space="0" w:color="auto"/>
            <w:left w:val="none" w:sz="0" w:space="0" w:color="auto"/>
            <w:bottom w:val="none" w:sz="0" w:space="0" w:color="auto"/>
            <w:right w:val="none" w:sz="0" w:space="0" w:color="auto"/>
          </w:divBdr>
        </w:div>
      </w:divsChild>
    </w:div>
    <w:div w:id="735199330">
      <w:bodyDiv w:val="1"/>
      <w:marLeft w:val="0"/>
      <w:marRight w:val="0"/>
      <w:marTop w:val="0"/>
      <w:marBottom w:val="0"/>
      <w:divBdr>
        <w:top w:val="none" w:sz="0" w:space="0" w:color="auto"/>
        <w:left w:val="none" w:sz="0" w:space="0" w:color="auto"/>
        <w:bottom w:val="none" w:sz="0" w:space="0" w:color="auto"/>
        <w:right w:val="none" w:sz="0" w:space="0" w:color="auto"/>
      </w:divBdr>
      <w:divsChild>
        <w:div w:id="636567084">
          <w:marLeft w:val="0"/>
          <w:marRight w:val="0"/>
          <w:marTop w:val="0"/>
          <w:marBottom w:val="0"/>
          <w:divBdr>
            <w:top w:val="none" w:sz="0" w:space="0" w:color="auto"/>
            <w:left w:val="none" w:sz="0" w:space="0" w:color="auto"/>
            <w:bottom w:val="none" w:sz="0" w:space="0" w:color="auto"/>
            <w:right w:val="none" w:sz="0" w:space="0" w:color="auto"/>
          </w:divBdr>
        </w:div>
      </w:divsChild>
    </w:div>
    <w:div w:id="825823909">
      <w:bodyDiv w:val="1"/>
      <w:marLeft w:val="0"/>
      <w:marRight w:val="0"/>
      <w:marTop w:val="0"/>
      <w:marBottom w:val="0"/>
      <w:divBdr>
        <w:top w:val="none" w:sz="0" w:space="0" w:color="auto"/>
        <w:left w:val="none" w:sz="0" w:space="0" w:color="auto"/>
        <w:bottom w:val="none" w:sz="0" w:space="0" w:color="auto"/>
        <w:right w:val="none" w:sz="0" w:space="0" w:color="auto"/>
      </w:divBdr>
      <w:divsChild>
        <w:div w:id="1549951378">
          <w:marLeft w:val="0"/>
          <w:marRight w:val="0"/>
          <w:marTop w:val="0"/>
          <w:marBottom w:val="0"/>
          <w:divBdr>
            <w:top w:val="none" w:sz="0" w:space="0" w:color="auto"/>
            <w:left w:val="none" w:sz="0" w:space="0" w:color="auto"/>
            <w:bottom w:val="none" w:sz="0" w:space="0" w:color="auto"/>
            <w:right w:val="none" w:sz="0" w:space="0" w:color="auto"/>
          </w:divBdr>
        </w:div>
      </w:divsChild>
    </w:div>
    <w:div w:id="1458793994">
      <w:bodyDiv w:val="1"/>
      <w:marLeft w:val="0"/>
      <w:marRight w:val="0"/>
      <w:marTop w:val="0"/>
      <w:marBottom w:val="0"/>
      <w:divBdr>
        <w:top w:val="none" w:sz="0" w:space="0" w:color="auto"/>
        <w:left w:val="none" w:sz="0" w:space="0" w:color="auto"/>
        <w:bottom w:val="none" w:sz="0" w:space="0" w:color="auto"/>
        <w:right w:val="none" w:sz="0" w:space="0" w:color="auto"/>
      </w:divBdr>
      <w:divsChild>
        <w:div w:id="1171261753">
          <w:marLeft w:val="0"/>
          <w:marRight w:val="0"/>
          <w:marTop w:val="0"/>
          <w:marBottom w:val="0"/>
          <w:divBdr>
            <w:top w:val="none" w:sz="0" w:space="0" w:color="auto"/>
            <w:left w:val="none" w:sz="0" w:space="0" w:color="auto"/>
            <w:bottom w:val="none" w:sz="0" w:space="0" w:color="auto"/>
            <w:right w:val="none" w:sz="0" w:space="0" w:color="auto"/>
          </w:divBdr>
        </w:div>
      </w:divsChild>
    </w:div>
    <w:div w:id="146646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FF4F8-F49A-4657-96BA-6749D42FB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977</Words>
  <Characters>5569</Characters>
  <Application>Microsoft Office Word</Application>
  <DocSecurity>0</DocSecurity>
  <Lines>46</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Burneikaitė</dc:creator>
  <cp:keywords/>
  <dc:description/>
  <cp:lastModifiedBy>Laima Burneikaitė</cp:lastModifiedBy>
  <cp:revision>4</cp:revision>
  <dcterms:created xsi:type="dcterms:W3CDTF">2026-04-20T10:39:00Z</dcterms:created>
  <dcterms:modified xsi:type="dcterms:W3CDTF">2026-04-20T12:29:00Z</dcterms:modified>
</cp:coreProperties>
</file>