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C1" w:rsidRDefault="008D253A" w:rsidP="008D2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eastAsia="Calibri"/>
          <w:lang w:eastAsia="lt-LT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proofErr w:type="spellStart"/>
      <w:r w:rsidRPr="00845C5D">
        <w:rPr>
          <w:rFonts w:eastAsia="Calibri"/>
          <w:lang w:eastAsia="lt-LT"/>
        </w:rPr>
        <w:t>Pirkimo</w:t>
      </w:r>
      <w:proofErr w:type="spellEnd"/>
      <w:r w:rsidRPr="00845C5D">
        <w:rPr>
          <w:rFonts w:eastAsia="Calibri"/>
          <w:lang w:eastAsia="lt-LT"/>
        </w:rPr>
        <w:t xml:space="preserve"> </w:t>
      </w:r>
      <w:proofErr w:type="spellStart"/>
      <w:r w:rsidRPr="00845C5D">
        <w:rPr>
          <w:rFonts w:eastAsia="Calibri"/>
          <w:lang w:eastAsia="lt-LT"/>
        </w:rPr>
        <w:t>sąlygų</w:t>
      </w:r>
      <w:proofErr w:type="spellEnd"/>
      <w:r w:rsidRPr="00845C5D">
        <w:rPr>
          <w:rFonts w:eastAsia="Calibri"/>
          <w:lang w:eastAsia="lt-LT"/>
        </w:rPr>
        <w:t xml:space="preserve"> 2</w:t>
      </w:r>
      <w:r>
        <w:rPr>
          <w:rFonts w:eastAsia="Calibri"/>
          <w:lang w:eastAsia="lt-LT"/>
        </w:rPr>
        <w:t xml:space="preserve"> </w:t>
      </w:r>
      <w:proofErr w:type="spellStart"/>
      <w:r>
        <w:rPr>
          <w:rFonts w:eastAsia="Calibri"/>
          <w:lang w:eastAsia="lt-LT"/>
        </w:rPr>
        <w:t>p</w:t>
      </w:r>
      <w:r w:rsidRPr="00845C5D">
        <w:rPr>
          <w:rFonts w:eastAsia="Calibri"/>
          <w:lang w:eastAsia="lt-LT"/>
        </w:rPr>
        <w:t>riedas</w:t>
      </w:r>
      <w:proofErr w:type="spellEnd"/>
      <w:r w:rsidRPr="00845C5D">
        <w:rPr>
          <w:rFonts w:eastAsia="Calibri"/>
          <w:lang w:eastAsia="lt-LT"/>
        </w:rPr>
        <w:t xml:space="preserve"> „</w:t>
      </w:r>
      <w:proofErr w:type="spellStart"/>
      <w:r w:rsidRPr="00845C5D">
        <w:rPr>
          <w:rFonts w:eastAsia="Calibri"/>
          <w:lang w:eastAsia="lt-LT"/>
        </w:rPr>
        <w:t>Techninė</w:t>
      </w:r>
      <w:proofErr w:type="spellEnd"/>
      <w:r w:rsidRPr="00845C5D">
        <w:rPr>
          <w:rFonts w:eastAsia="Calibri"/>
          <w:lang w:eastAsia="lt-LT"/>
        </w:rPr>
        <w:t xml:space="preserve"> </w:t>
      </w:r>
      <w:proofErr w:type="spellStart"/>
      <w:r w:rsidRPr="00845C5D">
        <w:rPr>
          <w:rFonts w:eastAsia="Calibri"/>
          <w:lang w:eastAsia="lt-LT"/>
        </w:rPr>
        <w:t>specifikacija</w:t>
      </w:r>
      <w:proofErr w:type="spellEnd"/>
      <w:r w:rsidRPr="00845C5D">
        <w:rPr>
          <w:rFonts w:eastAsia="Calibri"/>
          <w:lang w:eastAsia="lt-LT"/>
        </w:rPr>
        <w:t>“</w:t>
      </w:r>
      <w:bookmarkEnd w:id="0"/>
      <w:bookmarkEnd w:id="1"/>
      <w:bookmarkEnd w:id="2"/>
      <w:bookmarkEnd w:id="3"/>
      <w:bookmarkEnd w:id="4"/>
    </w:p>
    <w:p w:rsidR="008D253A" w:rsidRPr="008D253A" w:rsidRDefault="008D253A" w:rsidP="008D25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right"/>
        <w:rPr>
          <w:rFonts w:eastAsia="Times New Roman"/>
          <w:bdr w:val="none" w:sz="0" w:space="0" w:color="auto"/>
          <w:lang w:val="lt-LT"/>
        </w:rPr>
      </w:pPr>
    </w:p>
    <w:p w:rsidR="009259C1" w:rsidRDefault="009259C1" w:rsidP="009259C1">
      <w:pPr>
        <w:jc w:val="center"/>
        <w:rPr>
          <w:lang w:val="lt-LT"/>
        </w:rPr>
      </w:pPr>
      <w:r w:rsidRPr="009259C1">
        <w:rPr>
          <w:lang w:val="lt-LT"/>
        </w:rPr>
        <w:t>TECHNINĖ SPECIFIKACIJA</w:t>
      </w:r>
    </w:p>
    <w:p w:rsidR="008D253A" w:rsidRDefault="008D253A" w:rsidP="009259C1">
      <w:pPr>
        <w:jc w:val="center"/>
        <w:rPr>
          <w:lang w:val="lt-LT"/>
        </w:rPr>
      </w:pPr>
    </w:p>
    <w:p w:rsidR="008D253A" w:rsidRPr="009259C1" w:rsidRDefault="008D253A" w:rsidP="008D253A">
      <w:pPr>
        <w:rPr>
          <w:lang w:val="lt-LT"/>
        </w:rPr>
      </w:pPr>
      <w:r w:rsidRPr="008D253A">
        <w:rPr>
          <w:lang w:val="lt-LT"/>
        </w:rPr>
        <w:t>Pirkimo objektas –</w:t>
      </w:r>
      <w:r>
        <w:rPr>
          <w:lang w:val="lt-LT"/>
        </w:rPr>
        <w:t xml:space="preserve"> </w:t>
      </w:r>
      <w:r w:rsidRPr="008D253A">
        <w:rPr>
          <w:bCs/>
          <w:lang w:val="lt-LT"/>
        </w:rPr>
        <w:t xml:space="preserve">belaidžio  tinklo </w:t>
      </w:r>
      <w:r w:rsidR="001D5B66" w:rsidRPr="001D5B66">
        <w:rPr>
          <w:bCs/>
          <w:lang w:val="lt-LT"/>
        </w:rPr>
        <w:t>(</w:t>
      </w:r>
      <w:proofErr w:type="spellStart"/>
      <w:r w:rsidR="001D5B66" w:rsidRPr="001D5B66">
        <w:rPr>
          <w:bCs/>
          <w:lang w:val="lt-LT"/>
        </w:rPr>
        <w:t>W</w:t>
      </w:r>
      <w:r w:rsidR="001D5B66" w:rsidRPr="001D5B66">
        <w:rPr>
          <w:bCs/>
          <w:i/>
          <w:lang w:val="lt-LT"/>
        </w:rPr>
        <w:t>i</w:t>
      </w:r>
      <w:proofErr w:type="spellEnd"/>
      <w:r w:rsidR="001D5B66" w:rsidRPr="001D5B66">
        <w:rPr>
          <w:bCs/>
          <w:i/>
          <w:lang w:val="lt-LT"/>
        </w:rPr>
        <w:t>-Fi</w:t>
      </w:r>
      <w:r w:rsidR="001D5B66" w:rsidRPr="001D5B66">
        <w:rPr>
          <w:bCs/>
          <w:lang w:val="lt-LT"/>
        </w:rPr>
        <w:t>)</w:t>
      </w:r>
      <w:r w:rsidR="001D5B66">
        <w:rPr>
          <w:bCs/>
          <w:lang w:val="lt-LT"/>
        </w:rPr>
        <w:t xml:space="preserve"> </w:t>
      </w:r>
      <w:r w:rsidRPr="008D253A">
        <w:rPr>
          <w:bCs/>
          <w:lang w:val="lt-LT"/>
        </w:rPr>
        <w:t>prieigos įranga</w:t>
      </w:r>
      <w:r w:rsidR="008479EE">
        <w:rPr>
          <w:bCs/>
          <w:lang w:val="lt-LT"/>
        </w:rPr>
        <w:t xml:space="preserve"> (toliau – įranga)</w:t>
      </w:r>
      <w:r w:rsidR="006B57DF">
        <w:rPr>
          <w:bCs/>
          <w:lang w:val="lt-LT"/>
        </w:rPr>
        <w:t xml:space="preserve"> (40 vnt.)</w:t>
      </w:r>
      <w:r>
        <w:rPr>
          <w:bCs/>
          <w:lang w:val="lt-LT"/>
        </w:rPr>
        <w:t>.</w:t>
      </w:r>
    </w:p>
    <w:p w:rsidR="005C5F1D" w:rsidRDefault="005C5F1D" w:rsidP="009259C1">
      <w:pPr>
        <w:jc w:val="center"/>
      </w:pPr>
    </w:p>
    <w:p w:rsidR="009259C1" w:rsidRPr="005C5F1D" w:rsidRDefault="009259C1" w:rsidP="005C5F1D">
      <w:pPr>
        <w:jc w:val="right"/>
        <w:rPr>
          <w:bCs/>
          <w:lang w:val="lt-LT"/>
        </w:rPr>
      </w:pPr>
    </w:p>
    <w:tbl>
      <w:tblPr>
        <w:tblW w:w="1073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70"/>
        <w:gridCol w:w="4050"/>
        <w:gridCol w:w="3870"/>
      </w:tblGrid>
      <w:tr w:rsidR="009259C1" w:rsidRPr="009259C1" w:rsidTr="00C36B00">
        <w:trPr>
          <w:trHeight w:val="5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9259C1">
              <w:rPr>
                <w:bCs/>
                <w:lang w:val="lt-LT"/>
              </w:rPr>
              <w:t>Eil.</w:t>
            </w:r>
          </w:p>
          <w:p w:rsidR="009259C1" w:rsidRPr="009259C1" w:rsidRDefault="009259C1" w:rsidP="00C36B00">
            <w:pPr>
              <w:spacing w:line="256" w:lineRule="auto"/>
              <w:jc w:val="center"/>
              <w:rPr>
                <w:bCs/>
                <w:lang w:val="lt-LT"/>
              </w:rPr>
            </w:pPr>
            <w:r w:rsidRPr="009259C1">
              <w:rPr>
                <w:bCs/>
                <w:lang w:val="lt-LT"/>
              </w:rPr>
              <w:t>Nr.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jc w:val="center"/>
              <w:rPr>
                <w:bCs/>
                <w:lang w:val="lt-LT"/>
              </w:rPr>
            </w:pPr>
            <w:r w:rsidRPr="009259C1">
              <w:rPr>
                <w:bCs/>
                <w:lang w:val="lt-LT"/>
              </w:rPr>
              <w:t>Parametras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bCs/>
                <w:lang w:val="lt-LT"/>
              </w:rPr>
            </w:pPr>
            <w:r w:rsidRPr="009259C1">
              <w:rPr>
                <w:bCs/>
                <w:lang w:val="lt-LT"/>
              </w:rPr>
              <w:t>Reikalaujama parametro reikšmė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jc w:val="center"/>
              <w:rPr>
                <w:rFonts w:eastAsia="Times New Roman"/>
                <w:lang w:val="lt-LT" w:eastAsia="lt-LT"/>
              </w:rPr>
            </w:pPr>
            <w:r w:rsidRPr="009259C1">
              <w:rPr>
                <w:rFonts w:eastAsia="Times New Roman"/>
                <w:lang w:val="lt-LT" w:eastAsia="lt-LT"/>
              </w:rPr>
              <w:t>Tiekėjo pasiūlymo duomenys</w:t>
            </w:r>
          </w:p>
          <w:p w:rsidR="009259C1" w:rsidRPr="009259C1" w:rsidRDefault="009259C1" w:rsidP="00C36B00">
            <w:pPr>
              <w:jc w:val="center"/>
              <w:rPr>
                <w:rFonts w:eastAsia="Times New Roman"/>
                <w:lang w:val="lt-LT" w:eastAsia="lt-LT"/>
              </w:rPr>
            </w:pPr>
            <w:r w:rsidRPr="009259C1">
              <w:rPr>
                <w:rFonts w:eastAsia="Times New Roman"/>
                <w:i/>
                <w:color w:val="FF0000"/>
                <w:lang w:val="lt-LT" w:eastAsia="lt-LT"/>
              </w:rPr>
              <w:t>(pildo tiekėjas)</w:t>
            </w:r>
          </w:p>
        </w:tc>
      </w:tr>
      <w:tr w:rsidR="009259C1" w:rsidRPr="009259C1" w:rsidTr="00C36B00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spacing w:line="256" w:lineRule="auto"/>
              <w:ind w:left="94"/>
              <w:rPr>
                <w:lang w:val="lt-LT"/>
              </w:rPr>
            </w:pPr>
            <w:r w:rsidRPr="009259C1">
              <w:rPr>
                <w:lang w:val="lt-LT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Gamintojas, modelio pavadinimas ir kodas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79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Nurodyti gamintoją, modelį, gamintojo suteiktą produkto kodą ir pateikti nuorodą į gamintojo portalą, kuriame aprašytos siūlomo įrenginio techninės charakteristikos.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</w:pPr>
          </w:p>
        </w:tc>
      </w:tr>
      <w:tr w:rsidR="009259C1" w:rsidRPr="009259C1" w:rsidTr="00C36B00">
        <w:trPr>
          <w:trHeight w:val="2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Ryšio standartai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spacing w:line="256" w:lineRule="auto"/>
              <w:ind w:left="183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Palaikomi ne mažiau, kaip šie ar jiems lygiaverčiai ryšio standartai: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IEEE 802.11b/g;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IEEE 802.11a;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IEEE 802.11n;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IEEE 802.11ac;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IEEE 802.11ax;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7" w:hanging="176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IEEE 802.15.4 </w:t>
            </w:r>
            <w:proofErr w:type="spellStart"/>
            <w:r w:rsidRPr="009259C1">
              <w:rPr>
                <w:lang w:val="lt-LT"/>
              </w:rPr>
              <w:t>Zigbee</w:t>
            </w:r>
            <w:proofErr w:type="spellEnd"/>
            <w:r w:rsidRPr="009259C1">
              <w:rPr>
                <w:lang w:val="lt-LT"/>
              </w:rPr>
              <w:t>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76"/>
              <w:jc w:val="both"/>
              <w:rPr>
                <w:lang w:val="lt-LT"/>
              </w:rPr>
            </w:pPr>
            <w:proofErr w:type="spellStart"/>
            <w:r w:rsidRPr="009259C1">
              <w:rPr>
                <w:lang w:val="lt-LT"/>
              </w:rPr>
              <w:t>Bluetooth</w:t>
            </w:r>
            <w:proofErr w:type="spellEnd"/>
            <w:r w:rsidRPr="009259C1">
              <w:rPr>
                <w:lang w:val="lt-LT"/>
              </w:rPr>
              <w:t xml:space="preserve"> 5.0.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12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Radijai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</w:t>
            </w:r>
            <w:r w:rsidR="00034F77">
              <w:rPr>
                <w:lang w:val="lt-LT"/>
              </w:rPr>
              <w:t>i būti ne mažiau, kaip 2 radijai</w:t>
            </w:r>
            <w:r w:rsidRPr="009259C1">
              <w:rPr>
                <w:lang w:val="lt-LT"/>
              </w:rPr>
              <w:t>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palaikoma IEEE 802.11ax 2,4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2x2 MIMO ir IEEE 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802.11ax 5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4x4 MIMO;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galima vienu metu naudoti 2,4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IEEE 802.11ax ir 5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IEEE 802.11ax standartus.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5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Maksimali siųstuvų galia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59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2,4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dažnyje – ne mažiau 21 </w:t>
            </w:r>
            <w:proofErr w:type="spellStart"/>
            <w:r w:rsidRPr="009259C1">
              <w:rPr>
                <w:lang w:val="lt-LT"/>
              </w:rPr>
              <w:t>dBm</w:t>
            </w:r>
            <w:proofErr w:type="spellEnd"/>
            <w:r w:rsidRPr="009259C1">
              <w:rPr>
                <w:lang w:val="lt-LT"/>
              </w:rPr>
              <w:t>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59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5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dažnyje – ne mažiau 24 </w:t>
            </w:r>
            <w:proofErr w:type="spellStart"/>
            <w:r w:rsidRPr="009259C1">
              <w:rPr>
                <w:lang w:val="lt-LT"/>
              </w:rPr>
              <w:t>dBm</w:t>
            </w:r>
            <w:proofErr w:type="spellEnd"/>
            <w:r w:rsidRPr="009259C1">
              <w:rPr>
                <w:lang w:val="lt-LT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Greitaveika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359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palaikoma ne mažesnė, kaip 4,8 </w:t>
            </w:r>
            <w:proofErr w:type="spellStart"/>
            <w:r w:rsidRPr="009259C1">
              <w:rPr>
                <w:lang w:val="lt-LT"/>
              </w:rPr>
              <w:t>Gb</w:t>
            </w:r>
            <w:proofErr w:type="spellEnd"/>
            <w:r w:rsidRPr="009259C1">
              <w:rPr>
                <w:lang w:val="lt-LT"/>
              </w:rPr>
              <w:t xml:space="preserve">/s greitaveika naudojant 802.11ax 5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kai kanalo plotis 160MHz.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359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palaikoma ne mažesnė, kaip 0,5 </w:t>
            </w:r>
            <w:proofErr w:type="spellStart"/>
            <w:r w:rsidRPr="009259C1">
              <w:rPr>
                <w:lang w:val="lt-LT"/>
              </w:rPr>
              <w:t>Gb</w:t>
            </w:r>
            <w:proofErr w:type="spellEnd"/>
            <w:r w:rsidRPr="009259C1">
              <w:rPr>
                <w:lang w:val="lt-LT"/>
              </w:rPr>
              <w:t xml:space="preserve">/s greitaveika naudojant 802.11ax 2,4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kai kanalo plotis 40MHz.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7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Spindulio formavimas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palaikoma spindulio formavimo (angl. </w:t>
            </w:r>
            <w:proofErr w:type="spellStart"/>
            <w:r w:rsidRPr="009259C1">
              <w:rPr>
                <w:i/>
                <w:iCs/>
                <w:lang w:val="lt-LT"/>
              </w:rPr>
              <w:t>beamforming</w:t>
            </w:r>
            <w:proofErr w:type="spellEnd"/>
            <w:r w:rsidRPr="009259C1">
              <w:rPr>
                <w:lang w:val="lt-LT"/>
              </w:rPr>
              <w:t>) technologija.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1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Antenos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Ne mažiau kaip 4 integruotos </w:t>
            </w:r>
            <w:proofErr w:type="spellStart"/>
            <w:r w:rsidRPr="009259C1">
              <w:rPr>
                <w:lang w:val="lt-LT"/>
              </w:rPr>
              <w:t>dvijuosčio</w:t>
            </w:r>
            <w:proofErr w:type="spellEnd"/>
            <w:r w:rsidRPr="009259C1">
              <w:rPr>
                <w:lang w:val="lt-LT"/>
              </w:rPr>
              <w:t xml:space="preserve"> ryšio (</w:t>
            </w:r>
            <w:proofErr w:type="spellStart"/>
            <w:r w:rsidRPr="009259C1">
              <w:rPr>
                <w:lang w:val="lt-LT"/>
              </w:rPr>
              <w:t>dual-band</w:t>
            </w:r>
            <w:proofErr w:type="spellEnd"/>
            <w:r w:rsidRPr="009259C1">
              <w:rPr>
                <w:lang w:val="lt-LT"/>
              </w:rPr>
              <w:t xml:space="preserve">) antenos, užtikrinančios 4x4:4 MIMO veikimą 5 </w:t>
            </w:r>
            <w:proofErr w:type="spellStart"/>
            <w:r w:rsidRPr="009259C1">
              <w:rPr>
                <w:lang w:val="lt-LT"/>
              </w:rPr>
              <w:t>GHz</w:t>
            </w:r>
            <w:proofErr w:type="spellEnd"/>
            <w:r w:rsidRPr="009259C1">
              <w:rPr>
                <w:lang w:val="lt-LT"/>
              </w:rPr>
              <w:t xml:space="preserve"> dažnių juostoje.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8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Laidinio tinklo jungtys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numPr>
                <w:ilvl w:val="0"/>
                <w:numId w:val="10"/>
              </w:numPr>
              <w:spacing w:line="256" w:lineRule="auto"/>
              <w:ind w:left="357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bent vienas 100/1000/2500 </w:t>
            </w:r>
            <w:proofErr w:type="spellStart"/>
            <w:r w:rsidRPr="009259C1">
              <w:rPr>
                <w:lang w:val="lt-LT"/>
              </w:rPr>
              <w:t>Mbps</w:t>
            </w:r>
            <w:proofErr w:type="spellEnd"/>
            <w:r w:rsidRPr="009259C1">
              <w:rPr>
                <w:lang w:val="lt-LT"/>
              </w:rPr>
              <w:t xml:space="preserve"> RJ-45 prievadas su automatiniu greitaveikos atpažinimu;</w:t>
            </w:r>
          </w:p>
          <w:p w:rsidR="009259C1" w:rsidRPr="009259C1" w:rsidRDefault="009259C1" w:rsidP="00C36B00">
            <w:pPr>
              <w:pStyle w:val="Sraopastraipa"/>
              <w:numPr>
                <w:ilvl w:val="0"/>
                <w:numId w:val="10"/>
              </w:numPr>
              <w:spacing w:line="256" w:lineRule="auto"/>
              <w:ind w:left="357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Turi būti bent vienas 100/1000 </w:t>
            </w:r>
            <w:proofErr w:type="spellStart"/>
            <w:r w:rsidRPr="009259C1">
              <w:rPr>
                <w:lang w:val="lt-LT"/>
              </w:rPr>
              <w:t>Mbps</w:t>
            </w:r>
            <w:proofErr w:type="spellEnd"/>
            <w:r w:rsidRPr="009259C1">
              <w:rPr>
                <w:lang w:val="lt-LT"/>
              </w:rPr>
              <w:t xml:space="preserve"> RJ-45 prievadas su automatiniu greitaveikos atpažinimu;</w:t>
            </w:r>
          </w:p>
          <w:p w:rsidR="009259C1" w:rsidRPr="009259C1" w:rsidRDefault="009259C1" w:rsidP="00C36B00">
            <w:pPr>
              <w:pStyle w:val="Sraopastraipa"/>
              <w:numPr>
                <w:ilvl w:val="0"/>
                <w:numId w:val="10"/>
              </w:numPr>
              <w:spacing w:line="256" w:lineRule="auto"/>
              <w:ind w:left="357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Jungtis turi būti galima agreguoti naudojant LACP.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Elektros maitinimas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palaikomi IEEE 802.3at/</w:t>
            </w:r>
            <w:proofErr w:type="spellStart"/>
            <w:r w:rsidRPr="009259C1">
              <w:rPr>
                <w:lang w:val="lt-LT"/>
              </w:rPr>
              <w:t>bt</w:t>
            </w:r>
            <w:proofErr w:type="spellEnd"/>
            <w:r w:rsidRPr="009259C1">
              <w:rPr>
                <w:lang w:val="lt-LT"/>
              </w:rPr>
              <w:t xml:space="preserve"> standartai;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galimybė prijungti nuolatinės elektros srovės šaltinį;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Energijos sunaudojimas ne didesnis nei 21W.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2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Veikimo tipai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Belaidės prieigos taškas turi turėti galimybę veikti vienu iš šių veikimo rėžimų: 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belaidės prieigos taškas;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dedikuotas įsibrovimų sistemos sensorius, gebantis aptikti </w:t>
            </w:r>
            <w:proofErr w:type="spellStart"/>
            <w:r w:rsidRPr="009259C1">
              <w:rPr>
                <w:lang w:val="lt-LT"/>
              </w:rPr>
              <w:t>kenkėjiškus</w:t>
            </w:r>
            <w:proofErr w:type="spellEnd"/>
            <w:r w:rsidRPr="009259C1">
              <w:rPr>
                <w:lang w:val="lt-LT"/>
              </w:rPr>
              <w:t xml:space="preserve"> belaidžio ryšio prieigos įrenginius;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7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dedikuotu arba hibridiniu rėžimu veikiantis spektro analizatorius.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7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Saugos priemonės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palaikomi šie autentifikavimo protokolai ir būdai: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RADIUS;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TACACS+;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autentifikavimas per </w:t>
            </w:r>
            <w:proofErr w:type="spellStart"/>
            <w:r w:rsidRPr="009259C1">
              <w:rPr>
                <w:lang w:val="lt-LT"/>
              </w:rPr>
              <w:t>web</w:t>
            </w:r>
            <w:proofErr w:type="spellEnd"/>
            <w:r w:rsidRPr="009259C1">
              <w:rPr>
                <w:lang w:val="lt-LT"/>
              </w:rPr>
              <w:t xml:space="preserve"> portalą;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MAC autentifikavimas.</w:t>
            </w:r>
          </w:p>
          <w:p w:rsidR="009259C1" w:rsidRPr="009259C1" w:rsidRDefault="009259C1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palaikomi šie standartai:</w:t>
            </w:r>
          </w:p>
          <w:p w:rsidR="009259C1" w:rsidRPr="0072190E" w:rsidRDefault="009259C1" w:rsidP="00C36B00">
            <w:pPr>
              <w:pStyle w:val="Sraopastraipa"/>
              <w:widowControl w:val="0"/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8" w:hanging="180"/>
              <w:jc w:val="both"/>
              <w:rPr>
                <w:lang w:val="lt-LT"/>
              </w:rPr>
            </w:pPr>
            <w:r w:rsidRPr="0072190E">
              <w:rPr>
                <w:lang w:val="lt-LT"/>
              </w:rPr>
              <w:t>IEEE 802.1x.</w:t>
            </w:r>
            <w:r w:rsidR="0072190E" w:rsidRPr="0072190E">
              <w:rPr>
                <w:lang w:val="lt-LT"/>
              </w:rPr>
              <w:t>,</w:t>
            </w:r>
            <w:r w:rsidR="0072190E" w:rsidRPr="0072190E">
              <w:rPr>
                <w:bCs/>
              </w:rPr>
              <w:t xml:space="preserve"> IEEE 802.11w</w:t>
            </w:r>
          </w:p>
          <w:p w:rsidR="009259C1" w:rsidRPr="0072190E" w:rsidRDefault="009259C1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  <w:r w:rsidRPr="0072190E">
              <w:rPr>
                <w:lang w:val="lt-LT"/>
              </w:rPr>
              <w:t>Turi būti palaikomi šie prieigos kontrolės metodai:</w:t>
            </w:r>
          </w:p>
          <w:p w:rsidR="009259C1" w:rsidRPr="0072190E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72190E">
              <w:rPr>
                <w:lang w:val="lt-LT"/>
              </w:rPr>
              <w:t>EAP-PEAP;</w:t>
            </w:r>
          </w:p>
          <w:p w:rsidR="009259C1" w:rsidRPr="0072190E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72190E">
              <w:rPr>
                <w:lang w:val="lt-LT"/>
              </w:rPr>
              <w:t>EAP-TLS;</w:t>
            </w:r>
          </w:p>
          <w:p w:rsidR="009259C1" w:rsidRPr="0072190E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8" w:hanging="180"/>
              <w:jc w:val="both"/>
              <w:rPr>
                <w:lang w:val="lt-LT"/>
              </w:rPr>
            </w:pPr>
            <w:r w:rsidRPr="0072190E">
              <w:rPr>
                <w:lang w:val="lt-LT"/>
              </w:rPr>
              <w:t>EAP-TTLS.</w:t>
            </w:r>
          </w:p>
          <w:p w:rsidR="0072190E" w:rsidRPr="0072190E" w:rsidRDefault="0072190E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240" w:line="256" w:lineRule="auto"/>
              <w:ind w:left="363" w:right="178" w:hanging="180"/>
              <w:jc w:val="both"/>
              <w:rPr>
                <w:lang w:val="lt-LT"/>
              </w:rPr>
            </w:pPr>
            <w:r w:rsidRPr="0072190E">
              <w:rPr>
                <w:bCs/>
              </w:rPr>
              <w:t>AES (CCMP/GCMP)</w:t>
            </w:r>
            <w:r w:rsidRPr="0072190E">
              <w:t>.</w:t>
            </w:r>
          </w:p>
          <w:p w:rsidR="009259C1" w:rsidRPr="009259C1" w:rsidRDefault="009259C1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palaikomi šie apsaugos tipai: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WPA, WPA2, WPA3;</w:t>
            </w:r>
          </w:p>
          <w:p w:rsidR="009259C1" w:rsidRPr="009259C1" w:rsidRDefault="009259C1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būti palaikomi šie šifravimo algoritmai: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AES;</w:t>
            </w:r>
          </w:p>
          <w:p w:rsidR="009259C1" w:rsidRPr="009259C1" w:rsidRDefault="009259C1" w:rsidP="00C36B00">
            <w:pPr>
              <w:pStyle w:val="Sraopastraipa"/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363" w:right="178" w:hanging="180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 xml:space="preserve">TKIP. </w:t>
            </w:r>
          </w:p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8"/>
              <w:jc w:val="both"/>
              <w:rPr>
                <w:lang w:val="lt-LT"/>
              </w:rPr>
            </w:pPr>
          </w:p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left="167" w:right="178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lastRenderedPageBreak/>
              <w:t xml:space="preserve">Turi turėti integruotą </w:t>
            </w:r>
            <w:proofErr w:type="spellStart"/>
            <w:r w:rsidRPr="009259C1">
              <w:rPr>
                <w:lang w:val="lt-LT"/>
              </w:rPr>
              <w:t>Trusted</w:t>
            </w:r>
            <w:proofErr w:type="spellEnd"/>
            <w:r w:rsidRPr="009259C1">
              <w:rPr>
                <w:lang w:val="lt-LT"/>
              </w:rPr>
              <w:t xml:space="preserve"> </w:t>
            </w:r>
            <w:proofErr w:type="spellStart"/>
            <w:r w:rsidRPr="009259C1">
              <w:rPr>
                <w:lang w:val="lt-LT"/>
              </w:rPr>
              <w:t>Platform</w:t>
            </w:r>
            <w:proofErr w:type="spellEnd"/>
            <w:r w:rsidRPr="009259C1">
              <w:rPr>
                <w:lang w:val="lt-LT"/>
              </w:rPr>
              <w:t xml:space="preserve"> Module (TPM) saugiam raktų ir sertifikatų saugojimui.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72190E" w:rsidRPr="009259C1" w:rsidTr="00C36B00">
        <w:trPr>
          <w:trHeight w:val="4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  <w:r w:rsidR="0072190E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90E" w:rsidRPr="0072190E" w:rsidRDefault="0072190E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72190E">
              <w:rPr>
                <w:bCs/>
              </w:rPr>
              <w:t xml:space="preserve">Saugus </w:t>
            </w:r>
            <w:proofErr w:type="spellStart"/>
            <w:r w:rsidRPr="0072190E">
              <w:rPr>
                <w:bCs/>
              </w:rPr>
              <w:t>įkrovimas</w:t>
            </w:r>
            <w:proofErr w:type="spellEnd"/>
            <w:r w:rsidRPr="0072190E">
              <w:rPr>
                <w:bCs/>
              </w:rPr>
              <w:t xml:space="preserve"> (Secure Boot)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E" w:rsidRDefault="0072190E" w:rsidP="0072190E">
            <w:pPr>
              <w:rPr>
                <w:rFonts w:eastAsiaTheme="minorHAnsi"/>
                <w:bdr w:val="none" w:sz="0" w:space="0" w:color="auto"/>
                <w:lang w:val="lt-LT"/>
              </w:rPr>
            </w:pPr>
            <w:proofErr w:type="spellStart"/>
            <w:r>
              <w:t>Įranga</w:t>
            </w:r>
            <w:proofErr w:type="spellEnd"/>
            <w:r>
              <w:t xml:space="preserve"> </w:t>
            </w:r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palaikyti</w:t>
            </w:r>
            <w:proofErr w:type="spellEnd"/>
            <w:r>
              <w:t xml:space="preserve"> </w:t>
            </w:r>
            <w:proofErr w:type="spellStart"/>
            <w:r>
              <w:t>techninės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lygio</w:t>
            </w:r>
            <w:proofErr w:type="spellEnd"/>
            <w:r>
              <w:t xml:space="preserve"> </w:t>
            </w:r>
            <w:proofErr w:type="spellStart"/>
            <w:r>
              <w:t>pasirašytos</w:t>
            </w:r>
            <w:proofErr w:type="spellEnd"/>
            <w:r>
              <w:t xml:space="preserve"> </w:t>
            </w:r>
            <w:proofErr w:type="spellStart"/>
            <w:r>
              <w:t>mikroprograminės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patikrą</w:t>
            </w:r>
            <w:proofErr w:type="spellEnd"/>
            <w:r>
              <w:t xml:space="preserve"> (</w:t>
            </w:r>
            <w:r>
              <w:rPr>
                <w:i/>
                <w:iCs/>
              </w:rPr>
              <w:t>Hardware-rooted Trust</w:t>
            </w:r>
            <w:r>
              <w:t xml:space="preserve">), </w:t>
            </w:r>
            <w:proofErr w:type="spellStart"/>
            <w:r>
              <w:t>užtikrinant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būtų</w:t>
            </w:r>
            <w:proofErr w:type="spellEnd"/>
            <w:r>
              <w:t xml:space="preserve"> </w:t>
            </w:r>
            <w:proofErr w:type="spellStart"/>
            <w:r>
              <w:t>kraunama</w:t>
            </w:r>
            <w:proofErr w:type="spellEnd"/>
            <w:r>
              <w:t xml:space="preserve"> </w:t>
            </w:r>
            <w:proofErr w:type="spellStart"/>
            <w:r>
              <w:t>tik</w:t>
            </w:r>
            <w:proofErr w:type="spellEnd"/>
            <w:r>
              <w:t xml:space="preserve"> </w:t>
            </w:r>
            <w:proofErr w:type="spellStart"/>
            <w:r>
              <w:t>modifikacijų</w:t>
            </w:r>
            <w:proofErr w:type="spellEnd"/>
            <w:r>
              <w:t xml:space="preserve"> </w:t>
            </w:r>
            <w:proofErr w:type="spellStart"/>
            <w:r>
              <w:t>neturinti</w:t>
            </w:r>
            <w:proofErr w:type="spellEnd"/>
            <w:r>
              <w:t xml:space="preserve"> </w:t>
            </w: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programinė</w:t>
            </w:r>
            <w:proofErr w:type="spellEnd"/>
            <w:r>
              <w:t xml:space="preserve"> </w:t>
            </w:r>
            <w:proofErr w:type="spellStart"/>
            <w:r>
              <w:t>įranga</w:t>
            </w:r>
            <w:proofErr w:type="spellEnd"/>
            <w:r>
              <w:t>.</w:t>
            </w:r>
          </w:p>
          <w:p w:rsidR="0072190E" w:rsidRPr="009259C1" w:rsidRDefault="0072190E" w:rsidP="00C36B00">
            <w:pPr>
              <w:spacing w:line="256" w:lineRule="auto"/>
              <w:ind w:left="183" w:right="178"/>
              <w:jc w:val="both"/>
              <w:rPr>
                <w:lang w:val="lt-LT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0E" w:rsidRPr="009259C1" w:rsidRDefault="0072190E" w:rsidP="00C36B0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Duomenų srautų apskaita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RADIUS apskaitos palaikymas.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Virtualūs belaidžiai tinklai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Turi palaikyti ne mažiau kaip 16 vienu metu veikiančių virtualių belaidžių tinklų (SSID).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7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Valdymo sąsaja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spacing w:line="256" w:lineRule="auto"/>
              <w:ind w:left="183" w:right="177"/>
              <w:jc w:val="both"/>
              <w:rPr>
                <w:lang w:val="lt-LT"/>
              </w:rPr>
            </w:pPr>
            <w:r w:rsidRPr="009259C1">
              <w:rPr>
                <w:lang w:val="lt-LT"/>
              </w:rPr>
              <w:t>Saugi WEB/CLI/SNMP sąsaja arba įrenginių valdymo programinė įranga (SSL, SSH ir SNMPv3).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spacing w:line="256" w:lineRule="auto"/>
              <w:ind w:right="178"/>
              <w:jc w:val="both"/>
              <w:rPr>
                <w:lang w:val="lt-LT"/>
              </w:rPr>
            </w:pPr>
          </w:p>
        </w:tc>
      </w:tr>
      <w:tr w:rsidR="009259C1" w:rsidRPr="009259C1" w:rsidTr="00C36B00">
        <w:trPr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16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Valdymo funkcijos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" w:line="275" w:lineRule="exact"/>
              <w:ind w:left="175"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palaikoma: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left="355" w:right="178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Automatinis signalo galios reguliavimas;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left="355" w:right="178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Automatinis kanalo parinkimas ir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interferencijos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aptikimas;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left="355" w:right="178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Galios ir spektro analizė - triukšmų aptikimas nuo kitų bevielių įrenginių;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left="355" w:right="178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Automatinis klientų perkėlimas į mažiau apkrautus 5GHz kanalus.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pacing w:before="1" w:line="275" w:lineRule="exact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Paslaugų kokybės užtikrinimas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216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 palaikoma: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18" w:line="256" w:lineRule="auto"/>
              <w:ind w:left="355" w:right="177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DSCP;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18" w:line="256" w:lineRule="auto"/>
              <w:ind w:left="355" w:right="177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IEEE 802.1p;</w:t>
            </w:r>
          </w:p>
          <w:p w:rsidR="009259C1" w:rsidRPr="009259C1" w:rsidRDefault="009259C1" w:rsidP="00C36B00">
            <w:pPr>
              <w:pStyle w:val="TableParagraph"/>
              <w:numPr>
                <w:ilvl w:val="0"/>
                <w:numId w:val="9"/>
              </w:numPr>
              <w:kinsoku w:val="0"/>
              <w:overflowPunct w:val="0"/>
              <w:autoSpaceDE w:val="0"/>
              <w:autoSpaceDN w:val="0"/>
              <w:adjustRightInd w:val="0"/>
              <w:spacing w:before="18" w:line="256" w:lineRule="auto"/>
              <w:ind w:left="355" w:right="177" w:hanging="18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WMM (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-Fi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MultiMedia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IEEE 802.11e).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autoSpaceDE w:val="0"/>
              <w:autoSpaceDN w:val="0"/>
              <w:adjustRightInd w:val="0"/>
              <w:spacing w:before="18" w:line="256" w:lineRule="auto"/>
              <w:ind w:right="17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10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Suderinamumas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pilnai valdomas iš perkančiosios organizacijos naudojamos belaidžio tinklo valdymo sistemos, kurią sudaro 2 vnt. Aruba 7205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Mobility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Controller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pilnai suderinamas su dabartiniu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Wi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-Fi tinklu, kuriame naudojami Aruba AP-325 ir Aruba AP-535 prieigos taškai.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32" w:line="253" w:lineRule="exact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9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19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Įrenginys turi būti pritaikytas darbui temperatūroje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0 - 50°C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32" w:line="253" w:lineRule="exact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Atsparumas aplinkos drėgmei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blogiau 5 - 93%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32" w:line="253" w:lineRule="exact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9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Įrangos naujumas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 siūloma įranga turi būti nauja, negalima siūlyti naudotos arba naudotos ir atnaujintos (angl. </w:t>
            </w:r>
            <w:proofErr w:type="spellStart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refurbished</w:t>
            </w:r>
            <w:proofErr w:type="spellEnd"/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įrangos.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259C1" w:rsidRPr="009259C1" w:rsidTr="00C36B00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6B57DF" w:rsidP="00C36B00">
            <w:pPr>
              <w:spacing w:line="25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  <w:r w:rsidR="009259C1" w:rsidRPr="009259C1">
              <w:rPr>
                <w:lang w:val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9C1" w:rsidRPr="009259C1" w:rsidRDefault="009259C1" w:rsidP="00C36B00">
            <w:pPr>
              <w:spacing w:line="256" w:lineRule="auto"/>
              <w:ind w:left="93" w:firstLine="1"/>
              <w:rPr>
                <w:lang w:val="lt-LT"/>
              </w:rPr>
            </w:pPr>
            <w:r w:rsidRPr="009259C1">
              <w:rPr>
                <w:lang w:val="lt-LT"/>
              </w:rPr>
              <w:t>Montavimas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left="175" w:right="177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59C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Komplektuojamas su laikikliu, skirtu prieigos taško montavimui ant tvirtų paviršių.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C1" w:rsidRPr="009259C1" w:rsidRDefault="009259C1" w:rsidP="00C36B00">
            <w:pPr>
              <w:pStyle w:val="TableParagraph"/>
              <w:kinsoku w:val="0"/>
              <w:overflowPunct w:val="0"/>
              <w:spacing w:before="18" w:line="256" w:lineRule="auto"/>
              <w:ind w:right="1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9259C1" w:rsidRPr="009259C1" w:rsidRDefault="009259C1" w:rsidP="009259C1">
      <w:pPr>
        <w:ind w:firstLine="567"/>
        <w:jc w:val="both"/>
        <w:rPr>
          <w:lang w:val="lt-LT"/>
        </w:rPr>
      </w:pPr>
    </w:p>
    <w:p w:rsidR="008D253A" w:rsidRPr="008D253A" w:rsidRDefault="00C74BB6" w:rsidP="008144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993" w:firstLine="709"/>
        <w:jc w:val="both"/>
        <w:outlineLvl w:val="0"/>
        <w:rPr>
          <w:rFonts w:eastAsia="Times New Roman"/>
          <w:bCs/>
          <w:bdr w:val="none" w:sz="0" w:space="0" w:color="auto"/>
          <w:lang w:val="lt-LT"/>
        </w:rPr>
      </w:pPr>
      <w:r>
        <w:rPr>
          <w:rFonts w:eastAsia="Times New Roman"/>
          <w:bCs/>
          <w:bdr w:val="none" w:sz="0" w:space="0" w:color="auto"/>
          <w:lang w:val="lt-LT"/>
        </w:rPr>
        <w:t xml:space="preserve">1. </w:t>
      </w:r>
      <w:r w:rsidR="008D253A" w:rsidRPr="008D253A">
        <w:rPr>
          <w:rFonts w:eastAsia="Times New Roman"/>
          <w:bCs/>
          <w:bdr w:val="none" w:sz="0" w:space="0" w:color="auto"/>
          <w:lang w:val="lt-LT"/>
        </w:rPr>
        <w:t>Tiekėjas įsipareigoja:</w:t>
      </w:r>
    </w:p>
    <w:p w:rsidR="008D253A" w:rsidRDefault="00876F3F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color w:val="000000"/>
          <w:lang w:val="lt-LT" w:eastAsia="lt-LT"/>
        </w:rPr>
        <w:t>1</w:t>
      </w:r>
      <w:r w:rsidR="00C74BB6">
        <w:rPr>
          <w:color w:val="000000"/>
          <w:lang w:val="lt-LT" w:eastAsia="lt-LT"/>
        </w:rPr>
        <w:t>.1</w:t>
      </w:r>
      <w:r>
        <w:rPr>
          <w:color w:val="000000"/>
          <w:lang w:val="lt-LT" w:eastAsia="lt-LT"/>
        </w:rPr>
        <w:t>.</w:t>
      </w:r>
      <w:r w:rsidR="008D253A" w:rsidRPr="008D253A">
        <w:rPr>
          <w:color w:val="000000"/>
          <w:lang w:val="lt-LT" w:eastAsia="lt-LT"/>
        </w:rPr>
        <w:t xml:space="preserve"> per 30 (trisdešimt) kalendorinių dienų nuo Pirkėjo užsakymo pateikimo savo sąskaita </w:t>
      </w:r>
      <w:r w:rsidR="008D253A" w:rsidRPr="008D253A">
        <w:rPr>
          <w:rFonts w:cs="Arial Unicode MS"/>
          <w:lang w:val="lt-LT" w:eastAsia="lt-LT"/>
        </w:rPr>
        <w:t xml:space="preserve">pristatyti Pirkėjui nuosavybės teise įrangą (su garantine priežiūra), atitinkančią </w:t>
      </w:r>
      <w:r w:rsidR="008D253A">
        <w:rPr>
          <w:rFonts w:cs="Arial Unicode MS"/>
          <w:lang w:val="lt-LT" w:eastAsia="lt-LT"/>
        </w:rPr>
        <w:t>techninėje specifikacijoje</w:t>
      </w:r>
      <w:r w:rsidR="008D253A" w:rsidRPr="008D253A">
        <w:rPr>
          <w:rFonts w:cs="Arial Unicode MS"/>
          <w:lang w:val="lt-LT" w:eastAsia="lt-LT"/>
        </w:rPr>
        <w:t xml:space="preserve"> nustatytus reikalavimus;</w:t>
      </w:r>
    </w:p>
    <w:p w:rsidR="008D253A" w:rsidRPr="008D253A" w:rsidRDefault="00C74BB6" w:rsidP="005C4C89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 xml:space="preserve">1.2. </w:t>
      </w:r>
      <w:r w:rsidR="008D253A" w:rsidRPr="008D253A">
        <w:rPr>
          <w:rFonts w:cs="Arial Unicode MS"/>
          <w:lang w:val="lt-LT" w:eastAsia="lt-LT"/>
        </w:rPr>
        <w:t>užtikrinti, kad įranga veiktų be klaidų</w:t>
      </w:r>
      <w:r w:rsidR="005C4C89">
        <w:rPr>
          <w:rFonts w:cs="Arial Unicode MS"/>
          <w:lang w:val="lt-LT" w:eastAsia="lt-LT"/>
        </w:rPr>
        <w:t>,</w:t>
      </w:r>
      <w:r w:rsidR="008D253A" w:rsidRPr="008D253A">
        <w:rPr>
          <w:rFonts w:cs="Arial Unicode MS"/>
          <w:lang w:val="lt-LT" w:eastAsia="lt-LT"/>
        </w:rPr>
        <w:t xml:space="preserve"> </w:t>
      </w:r>
      <w:r w:rsidR="005C4C89" w:rsidRPr="005C4C89">
        <w:rPr>
          <w:rFonts w:cs="Arial Unicode MS"/>
          <w:lang w:val="lt-LT" w:eastAsia="lt-LT"/>
        </w:rPr>
        <w:t>korektiškai ir be gedimų bei be įspėjimų apie nekorektišką veikimą ar galimus gedimus</w:t>
      </w:r>
      <w:r w:rsidR="008D253A" w:rsidRPr="008D253A">
        <w:rPr>
          <w:rFonts w:cs="Arial Unicode MS"/>
          <w:lang w:val="lt-LT" w:eastAsia="lt-LT"/>
        </w:rPr>
        <w:t>;</w:t>
      </w:r>
    </w:p>
    <w:p w:rsidR="008D253A" w:rsidRPr="008D253A" w:rsidRDefault="00C74BB6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1.3</w:t>
      </w:r>
      <w:r w:rsidR="008D253A" w:rsidRPr="008D253A">
        <w:rPr>
          <w:rFonts w:cs="Arial Unicode MS"/>
          <w:lang w:val="lt-LT" w:eastAsia="lt-LT"/>
        </w:rPr>
        <w:t xml:space="preserve">. užtikrinti, kad įranga būtų tarpusavyje suderinama ir veikdama kartu užtikrintų ne mažesnį funkcionalumą ir charakteristikas nei numatyta </w:t>
      </w:r>
      <w:r w:rsidR="008D253A">
        <w:rPr>
          <w:rFonts w:cs="Arial Unicode MS"/>
          <w:lang w:val="lt-LT" w:eastAsia="lt-LT"/>
        </w:rPr>
        <w:t>techninėje specifikacijoje</w:t>
      </w:r>
      <w:r w:rsidR="008D253A" w:rsidRPr="008D253A">
        <w:rPr>
          <w:rFonts w:cs="Arial Unicode MS"/>
          <w:lang w:val="lt-LT" w:eastAsia="lt-LT"/>
        </w:rPr>
        <w:t>;</w:t>
      </w:r>
    </w:p>
    <w:p w:rsidR="008D253A" w:rsidRPr="008D253A" w:rsidRDefault="00C74BB6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1.4</w:t>
      </w:r>
      <w:r w:rsidR="008D253A" w:rsidRPr="008D253A">
        <w:rPr>
          <w:rFonts w:cs="Arial Unicode MS"/>
          <w:lang w:val="lt-LT" w:eastAsia="lt-LT"/>
        </w:rPr>
        <w:t xml:space="preserve">. užtikrinti, kad įrangos valdymo sąsajos (angl. </w:t>
      </w:r>
      <w:proofErr w:type="spellStart"/>
      <w:r w:rsidR="008D253A" w:rsidRPr="008D253A">
        <w:rPr>
          <w:rFonts w:cs="Arial Unicode MS"/>
          <w:i/>
          <w:lang w:val="lt-LT" w:eastAsia="lt-LT"/>
        </w:rPr>
        <w:t>interface</w:t>
      </w:r>
      <w:proofErr w:type="spellEnd"/>
      <w:r w:rsidR="008D253A" w:rsidRPr="008D253A">
        <w:rPr>
          <w:rFonts w:cs="Arial Unicode MS"/>
          <w:lang w:val="lt-LT" w:eastAsia="lt-LT"/>
        </w:rPr>
        <w:t>), sisteminiai pranešimai, dokumentacija, pagalbos žinynai būtų lietuvių arba anglų kalba;</w:t>
      </w:r>
    </w:p>
    <w:p w:rsidR="008D253A" w:rsidRPr="008D253A" w:rsidRDefault="00C74BB6" w:rsidP="008144F3">
      <w:pPr>
        <w:suppressAutoHyphens/>
        <w:ind w:hanging="284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1.5</w:t>
      </w:r>
      <w:r w:rsidR="008D253A" w:rsidRPr="008D253A">
        <w:rPr>
          <w:rFonts w:cs="Arial Unicode MS"/>
          <w:lang w:val="lt-LT" w:eastAsia="lt-LT"/>
        </w:rPr>
        <w:t>. užtikrinti, kad įranga tinkamai funkcionuotų vidaus patalpų klimatinėmis sąlygomis;</w:t>
      </w:r>
    </w:p>
    <w:p w:rsidR="008479EE" w:rsidRDefault="00C74BB6" w:rsidP="008144F3">
      <w:pPr>
        <w:suppressAutoHyphens/>
        <w:ind w:hanging="284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1.6</w:t>
      </w:r>
      <w:r w:rsidR="008D253A" w:rsidRPr="008D253A">
        <w:rPr>
          <w:rFonts w:cs="Arial Unicode MS"/>
          <w:lang w:val="lt-LT" w:eastAsia="lt-LT"/>
        </w:rPr>
        <w:t>. užtikrinti, kad įranga būtų pritaikyta mait</w:t>
      </w:r>
      <w:r w:rsidR="008D253A">
        <w:rPr>
          <w:rFonts w:cs="Arial Unicode MS"/>
          <w:lang w:val="lt-LT" w:eastAsia="lt-LT"/>
        </w:rPr>
        <w:t>inimui iš AC 230 V, 50Hz tinklo</w:t>
      </w:r>
      <w:r w:rsidR="00876F3F">
        <w:rPr>
          <w:rFonts w:cs="Arial Unicode MS"/>
          <w:lang w:val="lt-LT" w:eastAsia="lt-LT"/>
        </w:rPr>
        <w:t>.</w:t>
      </w:r>
    </w:p>
    <w:p w:rsidR="00C74BB6" w:rsidRDefault="00C74BB6" w:rsidP="008479EE">
      <w:pPr>
        <w:suppressAutoHyphens/>
        <w:ind w:firstLine="709"/>
        <w:jc w:val="both"/>
        <w:rPr>
          <w:rFonts w:cs="Arial Unicode MS"/>
          <w:lang w:val="lt-LT" w:eastAsia="lt-LT"/>
        </w:rPr>
      </w:pPr>
    </w:p>
    <w:p w:rsidR="00A47AA9" w:rsidRDefault="00C74BB6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 xml:space="preserve">2. </w:t>
      </w:r>
      <w:r w:rsidRPr="00C74BB6">
        <w:rPr>
          <w:rFonts w:cs="Arial Unicode MS"/>
          <w:lang w:val="lt-LT" w:eastAsia="lt-LT"/>
        </w:rPr>
        <w:t>Perkančioji organizacija pasilieka teisę prieš sutarties pasirašymą ar įrangos priėmimą patikrinti siūlomos įrangos serijinius numerius gamintojo sistemose.</w:t>
      </w:r>
    </w:p>
    <w:p w:rsidR="008144F3" w:rsidRDefault="008144F3" w:rsidP="008479EE">
      <w:pPr>
        <w:suppressAutoHyphens/>
        <w:ind w:firstLine="709"/>
        <w:jc w:val="both"/>
        <w:rPr>
          <w:rFonts w:cs="Arial Unicode MS"/>
          <w:lang w:val="lt-LT" w:eastAsia="lt-LT"/>
        </w:rPr>
      </w:pPr>
    </w:p>
    <w:p w:rsidR="008144F3" w:rsidRPr="008144F3" w:rsidRDefault="008144F3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3</w:t>
      </w:r>
      <w:r w:rsidRPr="008144F3">
        <w:rPr>
          <w:rFonts w:cs="Arial Unicode MS"/>
          <w:lang w:val="lt-LT" w:eastAsia="lt-LT"/>
        </w:rPr>
        <w:t>. Tiekėjas privalo užtikrinti programinės įrangos ir teikiamų paslaugų atitiktį kibernetinio saugumo reikalavimams, nurodytiems Kibernetinio saugumo reikalavimų ap</w:t>
      </w:r>
      <w:bookmarkStart w:id="5" w:name="_GoBack"/>
      <w:bookmarkEnd w:id="5"/>
      <w:r w:rsidRPr="008144F3">
        <w:rPr>
          <w:rFonts w:cs="Arial Unicode MS"/>
          <w:lang w:val="lt-LT" w:eastAsia="lt-LT"/>
        </w:rPr>
        <w:t>raše, patvirtintame Lietuvos Respublikos Vyriausybės 2018 m. rugpjūčio 13 d. nutarimu Nr. 818 „Dėl Lietuvos Respublikos kibernetin</w:t>
      </w:r>
      <w:r w:rsidR="000322BF">
        <w:rPr>
          <w:rFonts w:cs="Arial Unicode MS"/>
          <w:lang w:val="lt-LT" w:eastAsia="lt-LT"/>
        </w:rPr>
        <w:t>i</w:t>
      </w:r>
      <w:r w:rsidRPr="008144F3">
        <w:rPr>
          <w:rFonts w:cs="Arial Unicode MS"/>
          <w:lang w:val="lt-LT" w:eastAsia="lt-LT"/>
        </w:rPr>
        <w:t>o saugumo įstatymo įgyvendinimo“.</w:t>
      </w:r>
    </w:p>
    <w:p w:rsidR="008144F3" w:rsidRPr="008144F3" w:rsidRDefault="008144F3" w:rsidP="008144F3">
      <w:pPr>
        <w:suppressAutoHyphens/>
        <w:ind w:firstLine="709"/>
        <w:jc w:val="both"/>
        <w:rPr>
          <w:rFonts w:cs="Arial Unicode MS"/>
          <w:lang w:val="lt-LT" w:eastAsia="lt-LT"/>
        </w:rPr>
      </w:pPr>
    </w:p>
    <w:p w:rsidR="008144F3" w:rsidRPr="008144F3" w:rsidRDefault="008144F3" w:rsidP="008144F3">
      <w:pPr>
        <w:suppressAutoHyphens/>
        <w:ind w:left="-993" w:firstLine="709"/>
        <w:jc w:val="both"/>
        <w:rPr>
          <w:rFonts w:cs="Arial Unicode MS"/>
          <w:lang w:val="lt-LT" w:eastAsia="lt-LT"/>
        </w:rPr>
      </w:pPr>
      <w:r>
        <w:rPr>
          <w:rFonts w:cs="Arial Unicode MS"/>
          <w:lang w:val="lt-LT" w:eastAsia="lt-LT"/>
        </w:rPr>
        <w:t>4</w:t>
      </w:r>
      <w:r w:rsidRPr="008144F3">
        <w:rPr>
          <w:rFonts w:cs="Arial Unicode MS"/>
          <w:lang w:val="lt-LT" w:eastAsia="lt-LT"/>
        </w:rPr>
        <w:t xml:space="preserve">. </w:t>
      </w:r>
      <w:r w:rsidRPr="008144F3">
        <w:rPr>
          <w:rFonts w:cs="Arial Unicode MS"/>
          <w:bCs/>
          <w:lang w:val="lt-LT" w:eastAsia="lt-LT"/>
        </w:rPr>
        <w:t>Pirkėjas turi teisę Sutarties vykdymo metu organizuoti (inicijuoti)</w:t>
      </w:r>
      <w:r w:rsidRPr="008144F3">
        <w:rPr>
          <w:rFonts w:cs="Arial Unicode MS"/>
          <w:b/>
          <w:bCs/>
          <w:lang w:val="lt-LT" w:eastAsia="lt-LT"/>
        </w:rPr>
        <w:t xml:space="preserve"> </w:t>
      </w:r>
      <w:r w:rsidRPr="008144F3">
        <w:rPr>
          <w:rFonts w:cs="Arial Unicode MS"/>
          <w:bCs/>
          <w:lang w:val="lt-LT" w:eastAsia="lt-LT"/>
        </w:rPr>
        <w:t>Tiekėjo ir (arba) jo pasitelktų asmenų atitikties Lietuvos Respublikos teisės aktams, reglamentuojantiems privalomus nacionalinio saugumo ir kitų strateginių interesų užtikrinimo kriterijus / principus, įskaitant Seimo valdybos sprendimą, kuriuo nustatomos patekimo į Seimo rūmus ir Seimo posėdžių salę taisyklės, Seimo kanclerio įsakymus, kuriais nustatoma Seimo rūmų vidaus tvarka, ir (arba) dėl Lietuvos Respublikos viešųjų pirkimų įstatymo 45 straipsnio 2</w:t>
      </w:r>
      <w:r w:rsidRPr="008144F3">
        <w:rPr>
          <w:rFonts w:cs="Arial Unicode MS"/>
          <w:bCs/>
          <w:vertAlign w:val="superscript"/>
          <w:lang w:val="lt-LT" w:eastAsia="lt-LT"/>
        </w:rPr>
        <w:t>1</w:t>
      </w:r>
      <w:r w:rsidRPr="008144F3">
        <w:rPr>
          <w:rFonts w:cs="Arial Unicode MS"/>
          <w:bCs/>
          <w:lang w:val="lt-LT" w:eastAsia="lt-LT"/>
        </w:rPr>
        <w:t xml:space="preserve"> dalyje, ir (arba) 37 straipsnio 9 dalyje, ir (arba) 47 straipsnio 9 dalyje numatytiems reikalavimams patikrinimą.</w:t>
      </w:r>
    </w:p>
    <w:p w:rsidR="008144F3" w:rsidRDefault="008144F3" w:rsidP="008479EE">
      <w:pPr>
        <w:suppressAutoHyphens/>
        <w:ind w:firstLine="709"/>
        <w:jc w:val="both"/>
        <w:rPr>
          <w:rFonts w:cs="Arial Unicode MS"/>
          <w:lang w:val="lt-LT" w:eastAsia="lt-LT"/>
        </w:rPr>
      </w:pPr>
    </w:p>
    <w:p w:rsidR="00A47AA9" w:rsidRDefault="00A47AA9" w:rsidP="008479EE">
      <w:pPr>
        <w:suppressAutoHyphens/>
        <w:ind w:firstLine="709"/>
        <w:jc w:val="both"/>
        <w:rPr>
          <w:rFonts w:cs="Arial Unicode MS"/>
          <w:lang w:val="lt-LT" w:eastAsia="lt-LT"/>
        </w:rPr>
      </w:pPr>
    </w:p>
    <w:p w:rsidR="00A47AA9" w:rsidRDefault="00A47AA9" w:rsidP="00A47AA9">
      <w:pPr>
        <w:ind w:firstLine="567"/>
        <w:rPr>
          <w:u w:val="single"/>
          <w:lang w:val="lt-LT"/>
        </w:rPr>
      </w:pPr>
    </w:p>
    <w:p w:rsidR="009259C1" w:rsidRPr="009259C1" w:rsidRDefault="009259C1" w:rsidP="009259C1">
      <w:pPr>
        <w:ind w:firstLine="567"/>
        <w:jc w:val="center"/>
        <w:rPr>
          <w:u w:val="single"/>
          <w:lang w:val="lt-LT"/>
        </w:rPr>
      </w:pPr>
      <w:r w:rsidRPr="009259C1">
        <w:rPr>
          <w:u w:val="single"/>
          <w:lang w:val="lt-LT"/>
        </w:rPr>
        <w:tab/>
      </w:r>
      <w:r w:rsidRPr="009259C1">
        <w:rPr>
          <w:u w:val="single"/>
          <w:lang w:val="lt-LT"/>
        </w:rPr>
        <w:tab/>
      </w:r>
    </w:p>
    <w:p w:rsidR="005621C3" w:rsidRPr="009259C1" w:rsidRDefault="005621C3"/>
    <w:sectPr w:rsidR="005621C3" w:rsidRPr="009259C1" w:rsidSect="009259C1">
      <w:headerReference w:type="default" r:id="rId8"/>
      <w:pgSz w:w="11900" w:h="16840"/>
      <w:pgMar w:top="455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70" w:rsidRDefault="00063A70">
      <w:r>
        <w:separator/>
      </w:r>
    </w:p>
  </w:endnote>
  <w:endnote w:type="continuationSeparator" w:id="0">
    <w:p w:rsidR="00063A70" w:rsidRDefault="0006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70" w:rsidRDefault="00063A70">
      <w:r>
        <w:separator/>
      </w:r>
    </w:p>
  </w:footnote>
  <w:footnote w:type="continuationSeparator" w:id="0">
    <w:p w:rsidR="00063A70" w:rsidRDefault="00063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14" w:rsidRPr="00D27EAA" w:rsidRDefault="009259C1">
    <w:pPr>
      <w:pStyle w:val="Antrats"/>
      <w:framePr w:wrap="around" w:vAnchor="text" w:hAnchor="margin" w:xAlign="center" w:y="1"/>
      <w:rPr>
        <w:rStyle w:val="Puslapionumeris"/>
      </w:rPr>
    </w:pPr>
    <w:r w:rsidRPr="00D27EAA">
      <w:rPr>
        <w:rStyle w:val="Puslapionumeris"/>
      </w:rPr>
      <w:fldChar w:fldCharType="begin"/>
    </w:r>
    <w:r w:rsidRPr="00D27EAA">
      <w:rPr>
        <w:rStyle w:val="Puslapionumeris"/>
      </w:rPr>
      <w:instrText xml:space="preserve">PAGE  </w:instrText>
    </w:r>
    <w:r w:rsidRPr="00D27EAA">
      <w:rPr>
        <w:rStyle w:val="Puslapionumeris"/>
      </w:rPr>
      <w:fldChar w:fldCharType="separate"/>
    </w:r>
    <w:r w:rsidR="005C4C89">
      <w:rPr>
        <w:rStyle w:val="Puslapionumeris"/>
        <w:noProof/>
      </w:rPr>
      <w:t>4</w:t>
    </w:r>
    <w:r w:rsidRPr="00D27EAA">
      <w:rPr>
        <w:rStyle w:val="Puslapionumeris"/>
      </w:rPr>
      <w:fldChar w:fldCharType="end"/>
    </w:r>
  </w:p>
  <w:p w:rsidR="00B47B14" w:rsidRDefault="005C4C89" w:rsidP="00A001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0D31"/>
    <w:multiLevelType w:val="hybridMultilevel"/>
    <w:tmpl w:val="A6BA9AA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5BC2FCA"/>
    <w:multiLevelType w:val="hybridMultilevel"/>
    <w:tmpl w:val="179883F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851C55"/>
    <w:multiLevelType w:val="hybridMultilevel"/>
    <w:tmpl w:val="625844F4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197B4923"/>
    <w:multiLevelType w:val="hybridMultilevel"/>
    <w:tmpl w:val="DD52196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311E12E6"/>
    <w:multiLevelType w:val="multilevel"/>
    <w:tmpl w:val="72BE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06B0F"/>
    <w:multiLevelType w:val="hybridMultilevel"/>
    <w:tmpl w:val="E746072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A5F1323"/>
    <w:multiLevelType w:val="multilevel"/>
    <w:tmpl w:val="93C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2125C"/>
    <w:multiLevelType w:val="hybridMultilevel"/>
    <w:tmpl w:val="576635B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48D1342B"/>
    <w:multiLevelType w:val="hybridMultilevel"/>
    <w:tmpl w:val="1AE41F50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9" w15:restartNumberingAfterBreak="0">
    <w:nsid w:val="514F07E5"/>
    <w:multiLevelType w:val="hybridMultilevel"/>
    <w:tmpl w:val="258605E4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0" w15:restartNumberingAfterBreak="0">
    <w:nsid w:val="6EA6359A"/>
    <w:multiLevelType w:val="multilevel"/>
    <w:tmpl w:val="3B58F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23188"/>
    <w:multiLevelType w:val="hybridMultilevel"/>
    <w:tmpl w:val="F8DC91D8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2" w15:restartNumberingAfterBreak="0">
    <w:nsid w:val="769D3503"/>
    <w:multiLevelType w:val="multilevel"/>
    <w:tmpl w:val="089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70180D"/>
    <w:multiLevelType w:val="hybridMultilevel"/>
    <w:tmpl w:val="C546BAE2"/>
    <w:lvl w:ilvl="0" w:tplc="04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13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C1"/>
    <w:rsid w:val="000322BF"/>
    <w:rsid w:val="00034F77"/>
    <w:rsid w:val="00063A70"/>
    <w:rsid w:val="000B79AF"/>
    <w:rsid w:val="001D5B66"/>
    <w:rsid w:val="00282C57"/>
    <w:rsid w:val="00392DCE"/>
    <w:rsid w:val="00443CEC"/>
    <w:rsid w:val="005075A6"/>
    <w:rsid w:val="00537113"/>
    <w:rsid w:val="005621C3"/>
    <w:rsid w:val="005C4C89"/>
    <w:rsid w:val="005C5F1D"/>
    <w:rsid w:val="005E4E51"/>
    <w:rsid w:val="006B57DF"/>
    <w:rsid w:val="0072190E"/>
    <w:rsid w:val="008144F3"/>
    <w:rsid w:val="008479EE"/>
    <w:rsid w:val="008658F6"/>
    <w:rsid w:val="00876F3F"/>
    <w:rsid w:val="008D253A"/>
    <w:rsid w:val="009259C1"/>
    <w:rsid w:val="00A47AA9"/>
    <w:rsid w:val="00C74BB6"/>
    <w:rsid w:val="00E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6F6D"/>
  <w15:chartTrackingRefBased/>
  <w15:docId w15:val="{67E5F0C0-638D-48D7-B0ED-12034703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9259C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9259C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Antrats">
    <w:name w:val="header"/>
    <w:aliases w:val="Specialioji žyma"/>
    <w:basedOn w:val="prastasis"/>
    <w:link w:val="AntratsDiagrama"/>
    <w:uiPriority w:val="99"/>
    <w:unhideWhenUsed/>
    <w:rsid w:val="009259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9259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ist Paragraph111,Paragraph,List Paragraph Red,Table of contents numbered,VARNELES,punktai"/>
    <w:basedOn w:val="prastasis"/>
    <w:link w:val="SraopastraipaDiagrama"/>
    <w:uiPriority w:val="99"/>
    <w:qFormat/>
    <w:rsid w:val="009259C1"/>
    <w:pPr>
      <w:ind w:left="720"/>
      <w:contextualSpacing/>
    </w:pPr>
  </w:style>
  <w:style w:type="character" w:styleId="Puslapionumeris">
    <w:name w:val="page number"/>
    <w:rsid w:val="009259C1"/>
    <w:rPr>
      <w:sz w:val="20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uiPriority w:val="99"/>
    <w:qFormat/>
    <w:locked/>
    <w:rsid w:val="009259C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TableParagraph">
    <w:name w:val="Table Paragraph"/>
    <w:basedOn w:val="prastasis"/>
    <w:uiPriority w:val="1"/>
    <w:qFormat/>
    <w:rsid w:val="009259C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prastasiniatinklio">
    <w:name w:val="Normal (Web)"/>
    <w:basedOn w:val="prastasis"/>
    <w:uiPriority w:val="99"/>
    <w:semiHidden/>
    <w:unhideWhenUsed/>
    <w:rsid w:val="005371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whitespace-normal">
    <w:name w:val="whitespace-normal"/>
    <w:basedOn w:val="Numatytasispastraiposriftas"/>
    <w:rsid w:val="00537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6FB2-5968-446F-83DA-971644A4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4066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ŠAULYS Dalius</dc:creator>
  <cp:keywords/>
  <dc:description/>
  <cp:lastModifiedBy>DZIKARIENĖ Irma</cp:lastModifiedBy>
  <cp:revision>16</cp:revision>
  <dcterms:created xsi:type="dcterms:W3CDTF">2026-03-24T06:01:00Z</dcterms:created>
  <dcterms:modified xsi:type="dcterms:W3CDTF">2026-04-21T06:43:00Z</dcterms:modified>
</cp:coreProperties>
</file>