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6E2E" w14:textId="77777777" w:rsidR="009C4E59" w:rsidRPr="00107E38" w:rsidRDefault="009C4E59" w:rsidP="009C4E59">
      <w:pPr>
        <w:pBdr>
          <w:top w:val="nil"/>
          <w:left w:val="nil"/>
          <w:bottom w:val="nil"/>
          <w:right w:val="nil"/>
          <w:between w:val="nil"/>
          <w:bar w:val="nil"/>
        </w:pBdr>
        <w:spacing w:after="0" w:line="240" w:lineRule="auto"/>
        <w:jc w:val="right"/>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Cs/>
          <w:spacing w:val="4"/>
          <w:sz w:val="23"/>
          <w:szCs w:val="23"/>
          <w:bdr w:val="nil"/>
          <w14:textOutline w14:w="0" w14:cap="flat" w14:cmpd="sng" w14:algn="ctr">
            <w14:noFill/>
            <w14:prstDash w14:val="solid"/>
            <w14:bevel/>
          </w14:textOutline>
        </w:rPr>
        <w:t>Pirkimo sąlygų 2 priedas</w:t>
      </w:r>
    </w:p>
    <w:p w14:paraId="4BFDDAB0"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p>
    <w:p w14:paraId="64BB7511" w14:textId="77777777" w:rsidR="009C4E59" w:rsidRPr="00107E38" w:rsidRDefault="009C4E59" w:rsidP="009C4E59">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VIEŠOJO PREKIŲ PIRKIMO-PARDAVIMO SUTARTIS (FIKSUOTŲ ĮKAINIŲ)</w:t>
      </w:r>
    </w:p>
    <w:p w14:paraId="02226191" w14:textId="77777777" w:rsidR="009C4E59" w:rsidRPr="00107E38" w:rsidRDefault="009C4E59" w:rsidP="009C4E59">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color w:val="C13B2B"/>
          <w:spacing w:val="4"/>
          <w:sz w:val="23"/>
          <w:szCs w:val="23"/>
          <w:bdr w:val="nil"/>
          <w14:textOutline w14:w="0" w14:cap="flat" w14:cmpd="sng" w14:algn="ctr">
            <w14:noFill/>
            <w14:prstDash w14:val="solid"/>
            <w14:bevel/>
          </w14:textOutline>
        </w:rPr>
      </w:pPr>
    </w:p>
    <w:p w14:paraId="0F5D7A2B" w14:textId="77777777" w:rsidR="00764F9C" w:rsidRPr="00107E38" w:rsidRDefault="00764F9C" w:rsidP="00764F9C">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color w:val="000000"/>
          <w:sz w:val="23"/>
          <w:szCs w:val="23"/>
          <w:bdr w:val="nil"/>
          <w:lang w:val="en-US"/>
          <w14:textOutline w14:w="0" w14:cap="flat" w14:cmpd="sng" w14:algn="ctr">
            <w14:noFill/>
            <w14:prstDash w14:val="solid"/>
            <w14:bevel/>
          </w14:textOutline>
        </w:rPr>
      </w:pPr>
      <w:r w:rsidRPr="00107E38">
        <w:rPr>
          <w:rFonts w:ascii="Times New Roman" w:eastAsia="Arial Unicode MS" w:hAnsi="Times New Roman" w:cs="Times New Roman"/>
          <w:b/>
          <w:bCs/>
          <w:color w:val="000000"/>
          <w:sz w:val="23"/>
          <w:szCs w:val="23"/>
          <w:bdr w:val="nil"/>
          <w:lang w:val="en-US"/>
          <w14:textOutline w14:w="0" w14:cap="flat" w14:cmpd="sng" w14:algn="ctr">
            <w14:noFill/>
            <w14:prstDash w14:val="solid"/>
            <w14:bevel/>
          </w14:textOutline>
        </w:rPr>
        <w:t>VIENKARTINĖS PIRŠTINĖS</w:t>
      </w:r>
    </w:p>
    <w:p w14:paraId="10246F3C" w14:textId="77777777" w:rsidR="00764F9C" w:rsidRPr="00107E38" w:rsidRDefault="00764F9C" w:rsidP="00764F9C">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color w:val="000000"/>
          <w:sz w:val="23"/>
          <w:szCs w:val="23"/>
          <w:bdr w:val="nil"/>
          <w:lang w:val="en-US"/>
          <w14:textOutline w14:w="0" w14:cap="flat" w14:cmpd="sng" w14:algn="ctr">
            <w14:noFill/>
            <w14:prstDash w14:val="solid"/>
            <w14:bevel/>
          </w14:textOutline>
        </w:rPr>
      </w:pPr>
      <w:r w:rsidRPr="00107E38">
        <w:rPr>
          <w:rFonts w:ascii="Times New Roman" w:eastAsia="Arial Unicode MS" w:hAnsi="Times New Roman" w:cs="Times New Roman"/>
          <w:b/>
          <w:bCs/>
          <w:color w:val="000000"/>
          <w:sz w:val="23"/>
          <w:szCs w:val="23"/>
          <w:bdr w:val="nil"/>
          <w:lang w:val="en-US"/>
          <w14:textOutline w14:w="0" w14:cap="flat" w14:cmpd="sng" w14:algn="ctr">
            <w14:noFill/>
            <w14:prstDash w14:val="solid"/>
            <w14:bevel/>
          </w14:textOutline>
        </w:rPr>
        <w:t xml:space="preserve"> (NR. 10848-2) </w:t>
      </w:r>
    </w:p>
    <w:p w14:paraId="1BCF5FA4" w14:textId="4A2BDA2B" w:rsidR="009C4E59" w:rsidRPr="00107E38" w:rsidRDefault="009C4E59" w:rsidP="009C4E5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7D94CA33"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501E0C80"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b/>
          <w:bCs/>
          <w:color w:val="C13B2B"/>
          <w:sz w:val="23"/>
          <w:szCs w:val="23"/>
          <w:bdr w:val="nil"/>
          <w14:textOutline w14:w="0" w14:cap="flat" w14:cmpd="sng" w14:algn="ctr">
            <w14:noFill/>
            <w14:prstDash w14:val="solid"/>
            <w14:bevel/>
          </w14:textOutline>
        </w:rPr>
        <w:t>[Tiekėjo pavadinimas]</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(toliau - Pardavėjas), atstovaujamas (-a) _______________, veikiančio (-čios) pagal _______________, </w:t>
      </w:r>
    </w:p>
    <w:p w14:paraId="2BD25BA6"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ir</w:t>
      </w:r>
    </w:p>
    <w:p w14:paraId="4012BE48"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VšĮ Respublikinė Vilniaus universitetinė ligoninė</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(toliau - Pirkėjas), atstovaujamas (-a) _______________, veikiančio (-čios) pagal _______________, </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p>
    <w:p w14:paraId="2A1A94DE" w14:textId="27954DDA"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toliau Pardavėjas ir Pirkėjas kiekvienas atskirai gali būti vadinami „Šalimi“, o abu kartu – „Šalimis“, sudarė šią sutartį (toliau – Sutartis), </w:t>
      </w:r>
      <w:r w:rsidR="004759E1" w:rsidRPr="00107E38">
        <w:rPr>
          <w:rFonts w:ascii="Times New Roman" w:hAnsi="Times New Roman" w:cs="Times New Roman"/>
          <w:noProof/>
          <w:sz w:val="23"/>
          <w:szCs w:val="23"/>
        </w:rPr>
        <w:t xml:space="preserve">vadovaujantis </w:t>
      </w:r>
      <w:r w:rsidR="004759E1" w:rsidRPr="00107E38">
        <w:rPr>
          <w:rFonts w:ascii="Times New Roman" w:hAnsi="Times New Roman" w:cs="Times New Roman"/>
          <w:b/>
          <w:noProof/>
          <w:sz w:val="23"/>
          <w:szCs w:val="23"/>
        </w:rPr>
        <w:t>skelbiamos apklausos būdu atlikto mažos vertės viešojo pirkimo</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w:t>
      </w:r>
      <w:r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w:t>
      </w:r>
      <w:r w:rsidR="00764F9C"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Vienkartinės pirštinės</w:t>
      </w:r>
      <w:r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 xml:space="preserve"> (Nr.</w:t>
      </w:r>
      <w:r w:rsidR="00EF3DED"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 xml:space="preserve"> </w:t>
      </w:r>
      <w:r w:rsidR="00764F9C"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10848-2</w:t>
      </w:r>
      <w:r w:rsidRPr="00107E38">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t>)“</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(pirkimo </w:t>
      </w:r>
      <w:r w:rsidRPr="00107E38">
        <w:rPr>
          <w:rFonts w:ascii="Times New Roman" w:eastAsia="Arial Unicode MS" w:hAnsi="Times New Roman" w:cs="Times New Roman"/>
          <w:i/>
          <w:iCs/>
          <w:color w:val="000000"/>
          <w:sz w:val="23"/>
          <w:szCs w:val="23"/>
          <w:bdr w:val="nil"/>
          <w14:textOutline w14:w="0" w14:cap="flat" w14:cmpd="sng" w14:algn="ctr">
            <w14:noFill/>
            <w14:prstDash w14:val="solid"/>
            <w14:bevel/>
          </w14:textOutline>
        </w:rPr>
        <w:t>Nr</w:t>
      </w:r>
      <w:r w:rsidR="00E74A40" w:rsidRPr="00107E38">
        <w:rPr>
          <w:rFonts w:ascii="Times New Roman" w:eastAsia="Arial Unicode MS" w:hAnsi="Times New Roman" w:cs="Times New Roman"/>
          <w:i/>
          <w:iCs/>
          <w:color w:val="000000"/>
          <w:sz w:val="23"/>
          <w:szCs w:val="23"/>
          <w:bdr w:val="nil"/>
          <w14:textOutline w14:w="0" w14:cap="flat" w14:cmpd="sng" w14:algn="ctr">
            <w14:noFill/>
            <w14:prstDash w14:val="solid"/>
            <w14:bevel/>
          </w14:textOutline>
        </w:rPr>
        <w:t>.</w:t>
      </w:r>
      <w:r w:rsidR="00DB1992">
        <w:rPr>
          <w:rFonts w:ascii="Times New Roman" w:eastAsia="Arial Unicode MS" w:hAnsi="Times New Roman" w:cs="Times New Roman"/>
          <w:i/>
          <w:iCs/>
          <w:color w:val="000000"/>
          <w:sz w:val="23"/>
          <w:szCs w:val="23"/>
          <w:bdr w:val="nil"/>
          <w14:textOutline w14:w="0" w14:cap="flat" w14:cmpd="sng" w14:algn="ctr">
            <w14:noFill/>
            <w14:prstDash w14:val="solid"/>
            <w14:bevel/>
          </w14:textOutline>
        </w:rPr>
        <w:t xml:space="preserve"> 7506303</w:t>
      </w:r>
      <w:r w:rsidR="00E74A40"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sąlygomis ir susitarė dėl toliau išvardytų sąlygų.</w:t>
      </w:r>
    </w:p>
    <w:p w14:paraId="58CDD1C7"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6AF5A3EB"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 xml:space="preserve">1. SUTARTIES OBJEKTAS </w:t>
      </w:r>
    </w:p>
    <w:p w14:paraId="14B172FA"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1.1. Pardavėjas įsipareigoja pagal Pirkėjo poreikį Pirkėjui parduoti ir pristatyti Sutarties priede nurodytas prekes (toliau - prekės), o Pirkėjas įsipareigoja, esant prekių poreikiui, pateikti Pardavėjui užsakymą, priimti prekes ir už jas sumokėti pagal Sutarties priede nurodytus įkainius.</w:t>
      </w:r>
    </w:p>
    <w:p w14:paraId="7694A647"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1.2. Sutarties galiojimo metu planuojamas pirkti maksimalus prekių kiekis yra nurodytas Sutarties priede. Pirkėjas neįsipareigoja nupirkti konkretaus prekių kiekio.  </w:t>
      </w:r>
    </w:p>
    <w:p w14:paraId="3FBBDA3E"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1.3. Prekės turi atitikti prie Sutarties pridėtą pirkimo sąlygų techninę specifikaciją.</w:t>
      </w:r>
    </w:p>
    <w:p w14:paraId="24B05E75"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1.4. Pirkėjas, esant poreikiui, gali pagal šią Sutartį įsigyti iš Pardavėjo Sutarties priede nenurodytų, tačiau su pirkimo objektu susijusių prekių, neviršijant 10% maksimalios Sutarties vertės. nurodytos Sutarties 4.1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 Visais atvejais pagal Sutartį galima nupirkti prekių (nurodytų Sutarties priede ir nenurodytų) neviršijant maksimalios Sutarties vertės, nurodytos</w:t>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 xml:space="preserve"> Sutarties 4.1 punkte</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w:t>
      </w:r>
    </w:p>
    <w:p w14:paraId="1D24717E"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w:t>
      </w:r>
    </w:p>
    <w:p w14:paraId="1A22B116" w14:textId="77777777" w:rsidR="009C4E59" w:rsidRPr="00107E38" w:rsidRDefault="009C4E59" w:rsidP="009C4E59">
      <w:pPr>
        <w:pStyle w:val="Body2"/>
        <w:ind w:firstLine="720"/>
        <w:rPr>
          <w:rFonts w:cs="Times New Roman"/>
          <w:sz w:val="23"/>
          <w:szCs w:val="23"/>
          <w:lang w:val="lt-LT"/>
        </w:rPr>
      </w:pPr>
      <w:r w:rsidRPr="00107E38">
        <w:rPr>
          <w:rFonts w:cs="Times New Roman"/>
          <w:sz w:val="23"/>
          <w:szCs w:val="23"/>
          <w:lang w:val="lt-LT"/>
        </w:rPr>
        <w:tab/>
        <w:t xml:space="preserve"> </w:t>
      </w:r>
      <w:r w:rsidRPr="00107E38">
        <w:rPr>
          <w:rFonts w:cs="Times New Roman"/>
          <w:color w:val="auto"/>
          <w:sz w:val="23"/>
          <w:szCs w:val="23"/>
          <w:lang w:val="lt-LT"/>
        </w:rPr>
        <w:t>1.6. Pardavėjas įsipareigoja neatlygintinai konsultuoti Pirkėją su prekių, perkamų pagal šią Sutartį, panaudojimu susijusiais klausimais, Pirkėjo pareikalavimu pateikti visus dokumentus, reikalingus tinkamam prekių naudojimui.</w:t>
      </w:r>
    </w:p>
    <w:p w14:paraId="3FF06951" w14:textId="1703832A" w:rsidR="009C4E59" w:rsidRPr="00107E38" w:rsidRDefault="009C4E59" w:rsidP="009C4E59">
      <w:pPr>
        <w:pStyle w:val="Body2"/>
        <w:rPr>
          <w:rFonts w:cs="Times New Roman"/>
          <w:color w:val="auto"/>
          <w:sz w:val="23"/>
          <w:szCs w:val="23"/>
          <w:lang w:val="lt-LT"/>
        </w:rPr>
      </w:pPr>
      <w:r w:rsidRPr="00107E38">
        <w:rPr>
          <w:rFonts w:cs="Times New Roman"/>
          <w:sz w:val="23"/>
          <w:szCs w:val="23"/>
          <w:lang w:val="lt-LT"/>
        </w:rPr>
        <w:tab/>
      </w:r>
      <w:r w:rsidRPr="00107E38">
        <w:rPr>
          <w:rFonts w:cs="Times New Roman"/>
          <w:color w:val="auto"/>
          <w:sz w:val="23"/>
          <w:szCs w:val="23"/>
          <w:lang w:val="lt-LT"/>
        </w:rPr>
        <w:t xml:space="preserve">1.7. </w:t>
      </w:r>
      <w:r w:rsidRPr="00107E38">
        <w:rPr>
          <w:rFonts w:cs="Times New Roman"/>
          <w:b/>
          <w:bCs/>
          <w:color w:val="auto"/>
          <w:sz w:val="23"/>
          <w:szCs w:val="23"/>
          <w:lang w:val="lt-LT"/>
        </w:rPr>
        <w:t>Sutarties Šalys įsipareigoja laikytis aplinkosauginių reikalavimų (Pirkimo vykdytojas savarankiškai nustato aplinkos apsaugos kriterijus, kurie yra susiję su pirkimo nuostatomis):</w:t>
      </w:r>
    </w:p>
    <w:p w14:paraId="2F626F00" w14:textId="6017627A" w:rsidR="009C4E59" w:rsidRPr="00107E38" w:rsidRDefault="009C4E59" w:rsidP="009C4E59">
      <w:pPr>
        <w:pStyle w:val="Body2"/>
        <w:rPr>
          <w:rFonts w:cs="Times New Roman"/>
          <w:color w:val="auto"/>
          <w:sz w:val="23"/>
          <w:szCs w:val="23"/>
          <w:lang w:val="lt-LT"/>
        </w:rPr>
      </w:pPr>
      <w:r w:rsidRPr="00107E38">
        <w:rPr>
          <w:rFonts w:cs="Times New Roman"/>
          <w:color w:val="auto"/>
          <w:sz w:val="23"/>
          <w:szCs w:val="23"/>
          <w:lang w:val="lt-LT"/>
        </w:rPr>
        <w:tab/>
        <w:t>1.7.1.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107E38">
        <w:rPr>
          <w:rFonts w:cs="Times New Roman"/>
          <w:color w:val="auto"/>
          <w:sz w:val="23"/>
          <w:szCs w:val="23"/>
          <w:lang w:val="lt-LT"/>
        </w:rPr>
        <w:tab/>
        <w:t xml:space="preserve">1.7.2. siekiant prisidėti prie transporto spūsčių ir automobilių išmetamųjų dujų CO2 kiekio mažinimo, </w:t>
      </w:r>
      <w:r w:rsidR="00E00F79" w:rsidRPr="00107E38">
        <w:rPr>
          <w:rFonts w:cs="Times New Roman"/>
          <w:color w:val="auto"/>
          <w:sz w:val="23"/>
          <w:szCs w:val="23"/>
          <w:lang w:val="lt-LT"/>
        </w:rPr>
        <w:t xml:space="preserve">Pardavėjas </w:t>
      </w:r>
      <w:r w:rsidR="00E00F79" w:rsidRPr="00107E38">
        <w:rPr>
          <w:rFonts w:cs="Times New Roman"/>
          <w:color w:val="auto"/>
          <w:sz w:val="23"/>
          <w:szCs w:val="23"/>
          <w:lang w:val="lt-LT"/>
        </w:rPr>
        <w:lastRenderedPageBreak/>
        <w:t xml:space="preserve">įsipareigoja </w:t>
      </w:r>
      <w:r w:rsidRPr="00107E38">
        <w:rPr>
          <w:rFonts w:cs="Times New Roman"/>
          <w:color w:val="auto"/>
          <w:sz w:val="23"/>
          <w:szCs w:val="23"/>
          <w:lang w:val="lt-LT"/>
        </w:rPr>
        <w:t xml:space="preserve">prekes pristatyti ne piko valandomis (piko valandos pirmadieniais – penktadieniais nuo 8:00 iki </w:t>
      </w:r>
      <w:r w:rsidR="001F163A" w:rsidRPr="00107E38">
        <w:rPr>
          <w:rFonts w:cs="Times New Roman"/>
          <w:color w:val="auto"/>
          <w:sz w:val="23"/>
          <w:szCs w:val="23"/>
          <w:lang w:val="lt-LT"/>
        </w:rPr>
        <w:t>10</w:t>
      </w:r>
      <w:r w:rsidRPr="00107E38">
        <w:rPr>
          <w:rFonts w:cs="Times New Roman"/>
          <w:color w:val="auto"/>
          <w:sz w:val="23"/>
          <w:szCs w:val="23"/>
          <w:lang w:val="lt-LT"/>
        </w:rPr>
        <w:t xml:space="preserve">:00 val., nuo 16:00 iki 18:00 val.). </w:t>
      </w:r>
    </w:p>
    <w:p w14:paraId="6E491802" w14:textId="77777777" w:rsidR="009C4E59" w:rsidRPr="00107E38" w:rsidRDefault="009C4E59" w:rsidP="009C4E59">
      <w:pPr>
        <w:pStyle w:val="Body2"/>
        <w:rPr>
          <w:rFonts w:cs="Times New Roman"/>
          <w:color w:val="auto"/>
          <w:sz w:val="23"/>
          <w:szCs w:val="23"/>
          <w:lang w:val="lt-LT"/>
        </w:rPr>
      </w:pPr>
      <w:r w:rsidRPr="00107E38">
        <w:rPr>
          <w:rFonts w:cs="Times New Roman"/>
          <w:color w:val="auto"/>
          <w:sz w:val="23"/>
          <w:szCs w:val="23"/>
          <w:lang w:val="lt-LT"/>
        </w:rPr>
        <w:tab/>
        <w:t>1.8. Pirkėjas turi teisę prašyti Pardavėjo pateikti informaciją ir/ar dokumentus, kurie įrodytų Pardavėjo aplinkosaugos reikalavimų laikymąsi.</w:t>
      </w:r>
    </w:p>
    <w:p w14:paraId="052AE9BC"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5A557F14"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2. PREKIŲ UŽSAKYMO, TIEKIMO IR PRIĖMIMO TVARKA</w:t>
      </w:r>
    </w:p>
    <w:p w14:paraId="16D28AA6"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2.1. Sutarties galiojimo laikotarpiu Pirkėjas prekes užsako teikdamas Pardavėjui užsakymus, perduodamus </w:t>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raštu (elektroniniu paštu)</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Užsakymai gali būti teikiami visą prekių pagal Sutartį tiekimo terminą, nurodytą Sutarties 2.4 punkte, nurodant konkrečiu atveju užsakomų prekių kiekį.</w:t>
      </w:r>
    </w:p>
    <w:p w14:paraId="261DB40F" w14:textId="681BA2F4" w:rsidR="009C4E59" w:rsidRPr="00107E38" w:rsidRDefault="009C4E59" w:rsidP="00401A13">
      <w:pPr>
        <w:pStyle w:val="Body2"/>
        <w:rPr>
          <w:rFonts w:cs="Times New Roman"/>
          <w:sz w:val="23"/>
          <w:szCs w:val="23"/>
          <w:lang w:val="lt-LT"/>
        </w:rPr>
      </w:pPr>
      <w:r w:rsidRPr="00107E38">
        <w:rPr>
          <w:rFonts w:cs="Times New Roman"/>
          <w:sz w:val="23"/>
          <w:szCs w:val="23"/>
          <w:lang w:val="lt-LT"/>
        </w:rPr>
        <w:tab/>
        <w:t xml:space="preserve">2.2. Pardavėjas savo įsipareigojimus, nurodytus Sutarties 1.1 punkte įvykdo ne vėliau kaip per </w:t>
      </w:r>
      <w:r w:rsidR="001F163A" w:rsidRPr="00107E38">
        <w:rPr>
          <w:rFonts w:cs="Times New Roman"/>
          <w:sz w:val="23"/>
          <w:szCs w:val="23"/>
          <w:lang w:val="lt-LT"/>
        </w:rPr>
        <w:t>5</w:t>
      </w:r>
      <w:r w:rsidRPr="00107E38">
        <w:rPr>
          <w:rFonts w:cs="Times New Roman"/>
          <w:sz w:val="23"/>
          <w:szCs w:val="23"/>
          <w:lang w:val="lt-LT"/>
        </w:rPr>
        <w:t xml:space="preserve"> darbo dienas nuo užsakymo pateikimo dienos.</w:t>
      </w:r>
      <w:r w:rsidR="00401A13" w:rsidRPr="00107E38">
        <w:rPr>
          <w:rFonts w:cs="Times New Roman"/>
          <w:sz w:val="23"/>
          <w:szCs w:val="23"/>
          <w:lang w:val="lt-LT"/>
        </w:rPr>
        <w:t xml:space="preserve"> </w:t>
      </w:r>
      <w:r w:rsidR="00401A13" w:rsidRPr="00107E38">
        <w:rPr>
          <w:rFonts w:cs="Times New Roman"/>
          <w:color w:val="auto"/>
          <w:sz w:val="23"/>
          <w:szCs w:val="23"/>
          <w:lang w:val="lt-LT"/>
        </w:rPr>
        <w:t>Prekių pristatymo vieta - yra Šiltnamių g. 29, Vilnius, Pirkėjo nurodyta patalpa.</w:t>
      </w:r>
    </w:p>
    <w:p w14:paraId="5C916E4D"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2.3. Pirkėjas pasirašo Pardavėjo pateiktą perdavimo-priėmimo aktą arba kitą prekių pristatymą patvirtinantį dokumentą (pvz. sąskaitą-faktūrą), jei prekės atitinka Sutarties reikalavimus ir yra tinkamai pristatytos.</w:t>
      </w:r>
    </w:p>
    <w:p w14:paraId="52416B6B" w14:textId="6D24CA71"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2.4. Prekių pagal Sutartį tiekimo terminas: </w:t>
      </w:r>
      <w:r w:rsidR="00C97A98"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2</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mėnesi</w:t>
      </w:r>
      <w:r w:rsidR="001F163A"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ai</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nuo Sutarties įsigaliojimo dienos, bet ne ilgiau nei Pardavėjas parduoda Pirkėjui prekių už maksimalią Sutarties vertę, nurodytą Sutarties 4.1 punkte.</w:t>
      </w:r>
    </w:p>
    <w:p w14:paraId="32C2D3D8"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7745D57D"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3. SUBTIEKIMAS</w:t>
      </w:r>
    </w:p>
    <w:p w14:paraId="3A57B9E6" w14:textId="77777777" w:rsidR="001F163A" w:rsidRPr="00107E38" w:rsidRDefault="009C4E59" w:rsidP="001F163A">
      <w:pPr>
        <w:pStyle w:val="Body2"/>
        <w:rPr>
          <w:rFonts w:cs="Times New Roman"/>
          <w:sz w:val="23"/>
          <w:szCs w:val="23"/>
          <w:lang w:val="lt-LT"/>
        </w:rPr>
      </w:pPr>
      <w:r w:rsidRPr="00107E38">
        <w:rPr>
          <w:rFonts w:cs="Times New Roman"/>
          <w:sz w:val="23"/>
          <w:szCs w:val="23"/>
          <w:lang w:val="lt-LT"/>
        </w:rPr>
        <w:tab/>
      </w:r>
      <w:r w:rsidR="001F163A" w:rsidRPr="00107E38">
        <w:rPr>
          <w:rFonts w:cs="Times New Roman"/>
          <w:sz w:val="23"/>
          <w:szCs w:val="23"/>
          <w:lang w:val="lt-LT"/>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836E7E" w14:textId="77777777" w:rsidR="001F163A" w:rsidRPr="00107E38" w:rsidRDefault="001F163A" w:rsidP="001F163A">
      <w:pPr>
        <w:pStyle w:val="Body2"/>
        <w:rPr>
          <w:rFonts w:cs="Times New Roman"/>
          <w:sz w:val="23"/>
          <w:szCs w:val="23"/>
          <w:lang w:val="lt-LT"/>
        </w:rPr>
      </w:pPr>
      <w:r w:rsidRPr="00107E38">
        <w:rPr>
          <w:rFonts w:cs="Times New Roman"/>
          <w:sz w:val="23"/>
          <w:szCs w:val="23"/>
          <w:lang w:val="lt-LT"/>
        </w:rPr>
        <w:tab/>
        <w:t xml:space="preserve">3.2. Pardavėjas gali keisti Sutarties priede nurodytus subtiekėjus tik prieš tai raštu pranešęs Pirkėjui apie tokio keitimo būtinybę ir gavęs jo raštišką sutikimą. </w:t>
      </w:r>
    </w:p>
    <w:p w14:paraId="1732AB9F" w14:textId="77777777" w:rsidR="001F163A" w:rsidRPr="00107E38" w:rsidRDefault="001F163A" w:rsidP="001F163A">
      <w:pPr>
        <w:pStyle w:val="Body2"/>
        <w:rPr>
          <w:rFonts w:cs="Times New Roman"/>
          <w:sz w:val="23"/>
          <w:szCs w:val="23"/>
          <w:lang w:val="lt-LT"/>
        </w:rPr>
      </w:pPr>
      <w:r w:rsidRPr="00107E38">
        <w:rPr>
          <w:rFonts w:cs="Times New Roman"/>
          <w:sz w:val="23"/>
          <w:szCs w:val="23"/>
          <w:lang w:val="lt-LT"/>
        </w:rPr>
        <w:tab/>
        <w:t>3.3. Pardavėjas Sutarties vykdymo metu gali inicijuoti subtiekėjo, numatyto Sutarties priede, pakeitimą, nurodydamas tokio keitimo motyvus.</w:t>
      </w:r>
    </w:p>
    <w:p w14:paraId="0DEEB00E" w14:textId="77777777" w:rsidR="001F163A" w:rsidRPr="00107E38" w:rsidRDefault="001F163A" w:rsidP="001F163A">
      <w:pPr>
        <w:pStyle w:val="Body2"/>
        <w:rPr>
          <w:rFonts w:cs="Times New Roman"/>
          <w:sz w:val="23"/>
          <w:szCs w:val="23"/>
          <w:lang w:val="lt-LT"/>
        </w:rPr>
      </w:pPr>
      <w:r w:rsidRPr="00107E38">
        <w:rPr>
          <w:rFonts w:cs="Times New Roman"/>
          <w:sz w:val="23"/>
          <w:szCs w:val="23"/>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C6905C0" w14:textId="18E4D2E5" w:rsidR="009C4E59" w:rsidRPr="00107E38" w:rsidRDefault="001F163A" w:rsidP="001F163A">
      <w:pPr>
        <w:pStyle w:val="Body2"/>
        <w:rPr>
          <w:rFonts w:cs="Times New Roman"/>
          <w:sz w:val="23"/>
          <w:szCs w:val="23"/>
        </w:rPr>
      </w:pPr>
      <w:r w:rsidRPr="00107E38">
        <w:rPr>
          <w:rFonts w:cs="Times New Roman"/>
          <w:sz w:val="23"/>
          <w:szCs w:val="23"/>
          <w:lang w:val="lt-LT"/>
        </w:rPr>
        <w:tab/>
        <w:t>3.5. Pirkėjui sutikus su subtiekėjo pakeitimu, Pirkėjas kartu su Pardavėju raštu sudaro susitarimą dėl subtiekėjo pakeitimo, kurį pasirašo Šalys. Šis susitarimas yra neatskiriama Sutarties dalis.</w:t>
      </w:r>
    </w:p>
    <w:p w14:paraId="040E50E6"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4. PREKIŲ KAINA IR APMOKĖJIMO TVARKA</w:t>
      </w:r>
    </w:p>
    <w:p w14:paraId="6B9A76AE" w14:textId="3D1A5D1F"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000000"/>
          <w:sz w:val="23"/>
          <w:szCs w:val="23"/>
          <w:bdr w:val="nil"/>
          <w14:textOutline w14:w="0" w14:cap="flat" w14:cmpd="sng" w14:algn="ctr">
            <w14:noFill/>
            <w14:prstDash w14:val="solid"/>
            <w14:bevel/>
          </w14:textOutline>
        </w:rPr>
        <w:tab/>
      </w:r>
      <w:r w:rsidRPr="00107E38">
        <w:rPr>
          <w:rFonts w:ascii="Times New Roman" w:eastAsia="Times New Roman" w:hAnsi="Times New Roman" w:cs="Times New Roman"/>
          <w:sz w:val="23"/>
          <w:szCs w:val="23"/>
          <w:bdr w:val="nil"/>
        </w:rPr>
        <w:t>4.1</w:t>
      </w:r>
      <w:r w:rsidRPr="00107E38">
        <w:rPr>
          <w:rFonts w:ascii="Times New Roman" w:eastAsia="Times New Roman" w:hAnsi="Times New Roman" w:cs="Times New Roman"/>
          <w:b/>
          <w:bCs/>
          <w:sz w:val="23"/>
          <w:szCs w:val="23"/>
          <w:bdr w:val="nil"/>
        </w:rPr>
        <w:t xml:space="preserve">. Maksimali Sutarties vertė yra </w:t>
      </w:r>
      <w:r w:rsidRPr="00107E38">
        <w:rPr>
          <w:rFonts w:ascii="Times New Roman" w:eastAsia="Times New Roman" w:hAnsi="Times New Roman" w:cs="Times New Roman"/>
          <w:b/>
          <w:bCs/>
          <w:color w:val="FF0000"/>
          <w:sz w:val="23"/>
          <w:szCs w:val="23"/>
          <w:bdr w:val="nil"/>
        </w:rPr>
        <w:t>_______________</w:t>
      </w:r>
      <w:r w:rsidRPr="00107E38">
        <w:rPr>
          <w:rFonts w:ascii="Times New Roman" w:eastAsia="Times New Roman" w:hAnsi="Times New Roman" w:cs="Times New Roman"/>
          <w:b/>
          <w:bCs/>
          <w:sz w:val="23"/>
          <w:szCs w:val="23"/>
          <w:bdr w:val="nil"/>
        </w:rPr>
        <w:t xml:space="preserve"> Eur su PVM</w:t>
      </w:r>
      <w:r w:rsidRPr="00107E38">
        <w:rPr>
          <w:rFonts w:ascii="Times New Roman" w:eastAsia="Times New Roman" w:hAnsi="Times New Roman" w:cs="Times New Roman"/>
          <w:sz w:val="23"/>
          <w:szCs w:val="23"/>
          <w:bdr w:val="nil"/>
        </w:rPr>
        <w:t xml:space="preserve">  (sutarties kaina eurais su PVM žodžiais), iš kurios PVM sudaro </w:t>
      </w:r>
      <w:r w:rsidRPr="00107E38">
        <w:rPr>
          <w:rFonts w:ascii="Times New Roman" w:eastAsia="Times New Roman" w:hAnsi="Times New Roman" w:cs="Times New Roman"/>
          <w:color w:val="FF0000"/>
          <w:sz w:val="23"/>
          <w:szCs w:val="23"/>
          <w:bdr w:val="nil"/>
        </w:rPr>
        <w:t>_______________</w:t>
      </w:r>
      <w:r w:rsidRPr="00107E38">
        <w:rPr>
          <w:rFonts w:ascii="Times New Roman" w:eastAsia="Times New Roman" w:hAnsi="Times New Roman" w:cs="Times New Roman"/>
          <w:sz w:val="23"/>
          <w:szCs w:val="23"/>
          <w:bdr w:val="nil"/>
        </w:rPr>
        <w:t xml:space="preserve"> Eur. </w:t>
      </w:r>
      <w:r w:rsidR="00E00F79" w:rsidRPr="00107E38">
        <w:rPr>
          <w:rFonts w:ascii="Times New Roman" w:hAnsi="Times New Roman" w:cs="Times New Roman"/>
          <w:iCs/>
          <w:sz w:val="23"/>
          <w:szCs w:val="23"/>
          <w:bdr w:val="none" w:sz="0" w:space="0" w:color="auto" w:frame="1"/>
        </w:rPr>
        <w:t xml:space="preserve">Jeigu Sutartis sudaroma dėl dviejų ir daugiau pirkimo dalių, atskirų pirkimo dalių maksimalios Sutarties vertės nurodomos </w:t>
      </w:r>
      <w:r w:rsidR="00E00F79" w:rsidRPr="00107E38">
        <w:rPr>
          <w:rFonts w:ascii="Times New Roman" w:hAnsi="Times New Roman" w:cs="Times New Roman"/>
          <w:i/>
          <w:iCs/>
          <w:sz w:val="23"/>
          <w:szCs w:val="23"/>
          <w:bdr w:val="none" w:sz="0" w:space="0" w:color="auto" w:frame="1"/>
        </w:rPr>
        <w:t>Sutarties priede Nr. 1</w:t>
      </w:r>
      <w:r w:rsidR="00E00F79" w:rsidRPr="00107E38">
        <w:rPr>
          <w:rFonts w:ascii="Times New Roman" w:hAnsi="Times New Roman" w:cs="Times New Roman"/>
          <w:iCs/>
          <w:sz w:val="23"/>
          <w:szCs w:val="23"/>
          <w:bdr w:val="none" w:sz="0" w:space="0" w:color="auto" w:frame="1"/>
        </w:rPr>
        <w:t>.</w:t>
      </w:r>
    </w:p>
    <w:p w14:paraId="3C6BFEDA" w14:textId="77777777" w:rsidR="00226F31" w:rsidRPr="00107E38" w:rsidRDefault="009C4E59" w:rsidP="00226F3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00226F31"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4.2. Sutartyje nurodyta kaina nebus keičiama, išskyrus, kai Sutarties galiojimo laikotarpiu pasikeičia pridėtinės vertės mokestis (toliau – PVM). Prekių kainos pasikeitimą pagal šį Sutarties punktą Šalys įformina Sutarties Šalių įgaliotų atstovų pasirašomu papildomu susitarimu prie šios Sutarties. Nauja prekių kaina įsigalioja tik pasirašius papildomą susitarimą arba protokolą. Ta pati tvarka taikoma tiek didinant prekių kainą padidėjus PVM mokesčiui, tiek ją mažinant, jeigu PVM mokestis mažėja.   </w:t>
      </w:r>
    </w:p>
    <w:p w14:paraId="3EE00350" w14:textId="6A27441F" w:rsidR="009C4E59" w:rsidRPr="00107E38" w:rsidRDefault="009C4E59" w:rsidP="00226F31">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4.</w:t>
      </w:r>
      <w:r w:rsidR="00226F31" w:rsidRPr="00107E38">
        <w:rPr>
          <w:rFonts w:ascii="Times New Roman" w:eastAsia="Arial Unicode MS" w:hAnsi="Times New Roman" w:cs="Times New Roman"/>
          <w:sz w:val="23"/>
          <w:szCs w:val="23"/>
          <w:bdr w:val="nil"/>
          <w14:textOutline w14:w="0" w14:cap="flat" w14:cmpd="sng" w14:algn="ctr">
            <w14:noFill/>
            <w14:prstDash w14:val="solid"/>
            <w14:bevel/>
          </w14:textOutline>
        </w:rPr>
        <w:t>3</w:t>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nurodomas Sutarties numeris.</w:t>
      </w:r>
    </w:p>
    <w:p w14:paraId="32EBE3B6" w14:textId="1C3153E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lastRenderedPageBreak/>
        <w:tab/>
        <w:t>4.</w:t>
      </w:r>
      <w:r w:rsidR="00226F31"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4</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A0239A"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Sąskaitų administravimo bendroji informacinė sistema (SABIS)</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 priemonėmis. Paslauga yra apmokama Lietuvos Respublikos finansų ministro nustatyta tvarka. </w:t>
      </w:r>
    </w:p>
    <w:p w14:paraId="1E8B9A2E" w14:textId="7E392AFE"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4.</w:t>
      </w:r>
      <w:r w:rsidR="00226F31"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5</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sutartis5 tarp Pirkėjo, Pardavėjo ir jo subtiekėjo, kurioje aprašoma tiesioginio atsiskaitymo su subtiekėju tvarka, kurioje numatoma teisė Pardavėjui prieštarauti nepagrįstiems mokėjimams subtiekėjui.</w:t>
      </w:r>
    </w:p>
    <w:p w14:paraId="6CA6A11D"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4F7FBD89"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5. PREKIŲ KOKYBĖ IR GARANTIJA</w:t>
      </w:r>
    </w:p>
    <w:p w14:paraId="282B4C96"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5.1. Pardavėjas garantuoja parduodamų prekių kokybę. Prekių kokybė, ženklinimas ir įpakavimas turi atitikti Lietuvos Respublikos standartus. </w:t>
      </w:r>
    </w:p>
    <w:p w14:paraId="2025DEF3"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7E6DC8D"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5.3. Garantinis laikotarpis pradedamas skaičiuoti nuo prekių perdavimo - priėmimo akto ar lygiaverčio dokumento pasirašymo dienos.</w:t>
      </w:r>
    </w:p>
    <w:p w14:paraId="1EA809FB" w14:textId="77777777" w:rsidR="009C4E59" w:rsidRPr="00107E38"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5.4.  Pardavėjas garantuoja, kad visos pristatytos prekės yra naujos, nenaudotos ir be defektų. </w:t>
      </w:r>
    </w:p>
    <w:p w14:paraId="2F93A638" w14:textId="77777777" w:rsidR="009C4E59" w:rsidRPr="00107E38"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5.5. Jei Pardavėjas Pirkėjui pateikia nekokybiškas, neatitinkančias šios Sutarties sąlygų prekes, Pardavėjas privalo ne vėliau kaip per 3 darbo dienas nuo Pirkėjo pranešimo jas pakeisti kokybiškomis, atitinkančiomis šios Sutarties sąlygas prekėmis.</w:t>
      </w:r>
    </w:p>
    <w:p w14:paraId="4E5C897C"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p>
    <w:p w14:paraId="4F133D67"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6. SUSIRAŠINĖJIMAS</w:t>
      </w:r>
    </w:p>
    <w:p w14:paraId="73826937" w14:textId="661E4DB9"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6.1. Pirkėjo ir Pardavėjo vienas kitam siunčiami pranešimai turi būti raštiški. Siunčiami pranešimai turi būti siunčiami elektroniniu paštu Sutartyje Šalių nurodytais elektroninio pašto adresais. Jei adresatas raštu praneša kitą</w:t>
      </w:r>
      <w:r w:rsidRPr="00107E38">
        <w:rPr>
          <w:rFonts w:ascii="Times New Roman" w:hAnsi="Times New Roman" w:cs="Times New Roman"/>
          <w:sz w:val="23"/>
          <w:szCs w:val="23"/>
        </w:rPr>
        <w:t xml:space="preserve"> </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elektroninio pašto adresą, tai dokumentai privalo būti </w:t>
      </w:r>
      <w:r w:rsidR="00E00F79"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xml:space="preserve">siunčiami </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naujuoju adresu.</w:t>
      </w:r>
    </w:p>
    <w:p w14:paraId="6D0B60C8"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88CD7F5"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7E45C338"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7. ŠALIŲ ATSAKOMYBĖ</w:t>
      </w:r>
    </w:p>
    <w:p w14:paraId="3E5FFF81"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7.1. Pirkėjas, uždelsęs sumokėti Sutarties 4.3. punkte numatyta tvarka, įsipareigoja mokėti Pardavėjui </w:t>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 xml:space="preserve">0,04 </w:t>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 delspinigius nuo neapmokėtos sąskaitos dydžio su PVM, už kiekvieną uždelstą dieną.</w:t>
      </w:r>
    </w:p>
    <w:p w14:paraId="5618D730" w14:textId="7279713C" w:rsidR="009C4E59" w:rsidRPr="00107E38" w:rsidRDefault="009C4E59" w:rsidP="00E00F79">
      <w:pPr>
        <w:pStyle w:val="Body2"/>
        <w:rPr>
          <w:rFonts w:cs="Times New Roman"/>
          <w:sz w:val="23"/>
          <w:szCs w:val="23"/>
          <w:lang w:val="lt-LT"/>
        </w:rPr>
      </w:pPr>
      <w:r w:rsidRPr="00107E38">
        <w:rPr>
          <w:rFonts w:cs="Times New Roman"/>
          <w:sz w:val="23"/>
          <w:szCs w:val="23"/>
          <w:lang w:val="lt-LT"/>
        </w:rPr>
        <w:tab/>
        <w:t xml:space="preserve">7.2. </w:t>
      </w:r>
      <w:r w:rsidR="00E00F79" w:rsidRPr="00107E38">
        <w:rPr>
          <w:rFonts w:cs="Times New Roman"/>
          <w:sz w:val="23"/>
          <w:szCs w:val="23"/>
          <w:bdr w:val="none" w:sz="0" w:space="0" w:color="auto" w:frame="1"/>
          <w:lang w:val="lt-LT"/>
        </w:rPr>
        <w:t>Pardavėjas, uždelsęs pristatyti tinkamas Prekes Sutartyje numatytais terminais, įsipareigoja Pirkėjui pareikalavus mokėti Pirkėjui 0,04 % delspinigius nuo nepristatytų prekių vertės su PVM už kiekvieną uždelstą dieną, bet ne mažiau kaip 30 Eur, jei apskaičiuota delspinigių suma yra mažesnė negu 30 Eur.</w:t>
      </w:r>
    </w:p>
    <w:p w14:paraId="12042F45" w14:textId="3F3DD94D"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7.3. Sutarties įvykdymas užtikrinamas 10 %  maksimalios Sutarties vertės su PVM dydžio bauda. Pardavėjui netinkamai vykdant arba nevykdant Sutartimi prisiimtų įsipareigojimų, Pirkėjas įgyja teisę reikalauti, o Pardavėjas įsipareigoja sumokėti šiame Sutarties punkte nurodyto dydžio baudą.</w:t>
      </w:r>
    </w:p>
    <w:p w14:paraId="140A1054" w14:textId="35912F63" w:rsidR="00E00F79" w:rsidRPr="00107E38" w:rsidRDefault="00E00F79" w:rsidP="009C4E59">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sz w:val="23"/>
          <w:szCs w:val="23"/>
          <w:bdr w:val="none" w:sz="0" w:space="0" w:color="auto" w:frame="1"/>
          <w:lang w:eastAsia="lt-LT"/>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lastRenderedPageBreak/>
        <w:tab/>
        <w:t xml:space="preserve">7.4. </w:t>
      </w:r>
      <w:r w:rsidRPr="00107E38">
        <w:rPr>
          <w:rFonts w:ascii="Times New Roman" w:eastAsia="Times New Roman" w:hAnsi="Times New Roman" w:cs="Times New Roman"/>
          <w:color w:val="000000"/>
          <w:sz w:val="23"/>
          <w:szCs w:val="23"/>
          <w:bdr w:val="none" w:sz="0" w:space="0" w:color="auto" w:frame="1"/>
          <w:lang w:eastAsia="lt-LT"/>
          <w14:textOutline w14:w="0" w14:cap="flat" w14:cmpd="sng" w14:algn="ctr">
            <w14:noFill/>
            <w14:prstDash w14:val="solid"/>
            <w14:bevel/>
          </w14:textOutline>
        </w:rPr>
        <w:t>Pardavėjas atlygina Pirkėjui nuostolius, atsiradusius dėl Pardavėjo kaltės dėl netinkamo įsipareigojimų pagal Sutartį vykdymo ar nevykdymo.</w:t>
      </w:r>
    </w:p>
    <w:p w14:paraId="6A37E1BC" w14:textId="02054CE5" w:rsidR="006452ED" w:rsidRPr="00107E38" w:rsidRDefault="006452ED"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Times New Roman" w:hAnsi="Times New Roman" w:cs="Times New Roman"/>
          <w:color w:val="000000"/>
          <w:sz w:val="23"/>
          <w:szCs w:val="23"/>
          <w:bdr w:val="none" w:sz="0" w:space="0" w:color="auto" w:frame="1"/>
          <w:lang w:eastAsia="lt-LT"/>
          <w14:textOutline w14:w="0" w14:cap="flat" w14:cmpd="sng" w14:algn="ctr">
            <w14:noFill/>
            <w14:prstDash w14:val="solid"/>
            <w14:bevel/>
          </w14:textOutline>
        </w:rPr>
        <w:tab/>
        <w:t xml:space="preserve">7.5. </w:t>
      </w:r>
      <w:r w:rsidRPr="00107E38">
        <w:rPr>
          <w:rFonts w:ascii="Times New Roman" w:hAnsi="Times New Roman" w:cs="Times New Roman"/>
          <w:sz w:val="23"/>
          <w:szCs w:val="23"/>
        </w:rPr>
        <w:t>Pirkėjas baudas ir delspinigius be atskiro raštiško įspėjimo išskaičiuoja iš Pardavėjui mokėtinų sumų.</w:t>
      </w:r>
    </w:p>
    <w:p w14:paraId="459633F2"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2E53A880"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8. SUTARTIES GALIOJIMAS IR SUSTABDYMAS</w:t>
      </w:r>
    </w:p>
    <w:p w14:paraId="30E313F2"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8.1. Sutartis įsigalioja, kai Sutartį pasirašo abi Sutarties Šalys ir galioja iki visiško Šalių įsipareigojimų įvykdymo.</w:t>
      </w:r>
    </w:p>
    <w:p w14:paraId="1280E583" w14:textId="77777777" w:rsidR="009C4E59" w:rsidRPr="00107E38"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75F187B6"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ab/>
        <w:t>8.3. Jei bet kuri Sutarties nuostata tampa ar pripažįstama visiškai ar iš dalies negaliojančia, tai neturi įtakos kitų Sutarties nuostatų galiojimui.</w:t>
      </w:r>
    </w:p>
    <w:p w14:paraId="4DF04900"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p>
    <w:p w14:paraId="162D76D2"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9. SUTARTIES NUTRAUKIMAS</w:t>
      </w:r>
    </w:p>
    <w:p w14:paraId="021169E5" w14:textId="77777777" w:rsidR="00255717" w:rsidRPr="00107E38" w:rsidRDefault="009C4E59"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00255717"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9.1. Sutartį galima nutraukti šiais atvejais:</w:t>
      </w:r>
    </w:p>
    <w:p w14:paraId="7118246B" w14:textId="77777777" w:rsidR="00255717" w:rsidRPr="00107E38"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63A1FD9" w14:textId="77777777" w:rsidR="00255717" w:rsidRPr="00107E38"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9.1.2. Pirkėjo sprendimu prieš 10 kalendorinių dienų raštu įspėjus Pardavėją Viešųjų pirkimų įstatymo 90 straipsnio 1 dalyje nurodytais atvejais.</w:t>
      </w:r>
    </w:p>
    <w:p w14:paraId="3EE4A5DE" w14:textId="77777777" w:rsidR="00255717" w:rsidRPr="00107E38" w:rsidRDefault="00255717" w:rsidP="00255717">
      <w:pPr>
        <w:pBdr>
          <w:top w:val="nil"/>
          <w:left w:val="nil"/>
          <w:bottom w:val="nil"/>
          <w:right w:val="nil"/>
          <w:between w:val="nil"/>
          <w:bar w:val="nil"/>
        </w:pBdr>
        <w:tabs>
          <w:tab w:val="left" w:pos="709"/>
          <w:tab w:val="left" w:pos="993"/>
        </w:tabs>
        <w:suppressAutoHyphens/>
        <w:spacing w:after="40" w:line="240" w:lineRule="auto"/>
        <w:jc w:val="both"/>
        <w:rPr>
          <w:rFonts w:ascii="Times New Roman" w:eastAsia="Arial Unicode MS" w:hAnsi="Times New Roman" w:cs="Times New Roman"/>
          <w:bCs/>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 xml:space="preserve">9.1.3. </w:t>
      </w:r>
      <w:r w:rsidRPr="00107E38">
        <w:rPr>
          <w:rFonts w:ascii="Times New Roman" w:eastAsia="Arial Unicode MS" w:hAnsi="Times New Roman" w:cs="Times New Roman"/>
          <w:bCs/>
          <w:sz w:val="23"/>
          <w:szCs w:val="23"/>
          <w:bdr w:val="nil"/>
          <w14:textOutline w14:w="0" w14:cap="flat" w14:cmpd="sng" w14:algn="ctr">
            <w14:noFill/>
            <w14:prstDash w14:val="solid"/>
            <w14:bevel/>
          </w14:textOutline>
        </w:rPr>
        <w:t xml:space="preserve">Pirkėjo sprendimu prieš 10 kalendorinių dienų raštu įspėjus Pardavėją, jeigu </w:t>
      </w:r>
      <w:r w:rsidRPr="00107E38">
        <w:rPr>
          <w:rFonts w:ascii="Times New Roman" w:eastAsia="SimSun" w:hAnsi="Times New Roman" w:cs="Times New Roman"/>
          <w:bCs/>
          <w:color w:val="000000"/>
          <w:kern w:val="2"/>
          <w:sz w:val="23"/>
          <w:szCs w:val="23"/>
          <w:bdr w:val="nil"/>
          <w:lang w:eastAsia="zh-CN" w:bidi="hi-IN"/>
          <w14:textOutline w14:w="0" w14:cap="flat" w14:cmpd="sng" w14:algn="ctr">
            <w14:noFill/>
            <w14:prstDash w14:val="solid"/>
            <w14:bevel/>
          </w14:textOutline>
        </w:rPr>
        <w:t>atsiranda bent viena iš Viešųjų pirkimų įstatymo 45 straipsnio 2¹ dalyje nurodytų sąlygų.</w:t>
      </w:r>
    </w:p>
    <w:p w14:paraId="64BC0DE9" w14:textId="77777777" w:rsidR="00255717" w:rsidRPr="00107E38" w:rsidRDefault="00255717" w:rsidP="00255717">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ab/>
        <w:t>9.1.4. abiejų Šalių rašytiniu susitarimu.</w:t>
      </w:r>
    </w:p>
    <w:p w14:paraId="1D6EA2CD" w14:textId="77777777" w:rsidR="00255717" w:rsidRPr="00107E38"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8D1E3C9" w14:textId="38684F51" w:rsidR="009C4E59" w:rsidRPr="00107E38" w:rsidRDefault="009C4E59"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071C87FD"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10. NENUGALIMOS JĖGOS (FORCE MAJEURE) APLINKYBĖS</w:t>
      </w:r>
    </w:p>
    <w:p w14:paraId="5F72FD66"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10.1. Taikomos Lietuvos Respublikos civilinio kodekso 6.212 str. nuostatos.</w:t>
      </w:r>
    </w:p>
    <w:p w14:paraId="59702C43"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3F5EE9FF"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11. TAIKYTINA TEISĖ</w:t>
      </w:r>
    </w:p>
    <w:p w14:paraId="392EB6AB"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11.1. Sutarčiai taikoma ir ji aiškinama pagal Lietuvos Respublikos teisę.</w:t>
      </w:r>
    </w:p>
    <w:p w14:paraId="5022970F"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p>
    <w:p w14:paraId="5A0A0B97" w14:textId="77777777" w:rsidR="009C4E59" w:rsidRPr="00107E38" w:rsidRDefault="009C4E59" w:rsidP="009C4E59">
      <w:pPr>
        <w:pBdr>
          <w:top w:val="nil"/>
          <w:left w:val="nil"/>
          <w:bottom w:val="nil"/>
          <w:right w:val="nil"/>
          <w:between w:val="nil"/>
          <w:bar w:val="nil"/>
        </w:pBdr>
        <w:spacing w:after="0" w:line="240" w:lineRule="auto"/>
        <w:ind w:firstLine="1296"/>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12. GINČŲ SPRENDIMO TVARKA</w:t>
      </w:r>
    </w:p>
    <w:p w14:paraId="0DC0A0FA"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1EC401B"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4F6428DE"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13. KITOS NUOSTATOS</w:t>
      </w:r>
    </w:p>
    <w:p w14:paraId="75EF7381"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13.1. Sutarties sąlygos gali būti keičiamos tik vadovaujantis Viešųjų pirkimų įstatymo 89 straipsnio nuostatomis.</w:t>
      </w:r>
    </w:p>
    <w:p w14:paraId="7E2F208F"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13.2. Sutarties sąlygų keitimu nebus laikomas Sutarties sąlygų koregavimas joje numatytomis aplinkybėmis, jeigu šios aplinkybės nustatytos aiškiai ir nedviprasmiškai bei buvo pateiktos pirkimo sąlygose.</w:t>
      </w:r>
    </w:p>
    <w:p w14:paraId="2D9B4EF8" w14:textId="68CAD96A" w:rsidR="00B6255E" w:rsidRPr="00107E38" w:rsidRDefault="009C4E59" w:rsidP="00B6255E">
      <w:pPr>
        <w:pStyle w:val="Body2"/>
        <w:rPr>
          <w:rFonts w:eastAsia="Times New Roman" w:cs="Times New Roman"/>
          <w:sz w:val="23"/>
          <w:szCs w:val="23"/>
          <w:lang w:val="lt-LT"/>
        </w:rPr>
      </w:pPr>
      <w:r w:rsidRPr="00107E38">
        <w:rPr>
          <w:rFonts w:cs="Times New Roman"/>
          <w:sz w:val="23"/>
          <w:szCs w:val="23"/>
        </w:rPr>
        <w:tab/>
        <w:t xml:space="preserve">13.3. </w:t>
      </w:r>
      <w:r w:rsidR="00B6255E" w:rsidRPr="00107E38">
        <w:rPr>
          <w:rFonts w:eastAsia="Times New Roman" w:cs="Times New Roman"/>
          <w:noProof/>
          <w:sz w:val="23"/>
          <w:szCs w:val="23"/>
          <w:lang w:val="lt-LT"/>
        </w:rPr>
        <w:t xml:space="preserve">Pirkėjo paskirtas asmuo, atsakingas už Sutarties vykdymą yra </w:t>
      </w:r>
      <w:r w:rsidR="00B6255E" w:rsidRPr="00107E38">
        <w:rPr>
          <w:rFonts w:eastAsia="Times New Roman" w:cs="Times New Roman"/>
          <w:noProof/>
          <w:color w:val="FF0000"/>
          <w:sz w:val="23"/>
          <w:szCs w:val="23"/>
          <w:lang w:val="lt-LT"/>
        </w:rPr>
        <w:t>___________________________</w:t>
      </w:r>
      <w:r w:rsidR="00B6255E" w:rsidRPr="00107E38">
        <w:rPr>
          <w:rFonts w:eastAsia="Times New Roman" w:cs="Times New Roman"/>
          <w:noProof/>
          <w:sz w:val="23"/>
          <w:szCs w:val="23"/>
          <w:lang w:val="lt-LT"/>
        </w:rPr>
        <w:t xml:space="preserve"> </w:t>
      </w:r>
      <w:r w:rsidR="009A25A6" w:rsidRPr="00107E38">
        <w:rPr>
          <w:rFonts w:eastAsia="Times New Roman" w:cs="Times New Roman"/>
          <w:noProof/>
          <w:sz w:val="23"/>
          <w:szCs w:val="23"/>
          <w:lang w:val="lt-LT"/>
        </w:rPr>
        <w:t>.</w:t>
      </w:r>
    </w:p>
    <w:p w14:paraId="4EBCD49B" w14:textId="3A315A75"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lastRenderedPageBreak/>
        <w:tab/>
        <w:t>13.4. Jeigu pirkimo vykdymo metu nebuvo tikrinama Pardavėjo kvalifikacija dėl teisės verstis atitinkama veikla arba buvo tikrinama ne visa apimtimi, Pardavėjas įsipareigoja Pirkėjui, kad Sutartį vykdys tik tokią teisę turintys asmenys.</w:t>
      </w:r>
    </w:p>
    <w:p w14:paraId="3D3525EF"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13.5.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3AFD23AE"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13.6. Sutartis sudaroma lietuvių kalba.</w:t>
      </w:r>
    </w:p>
    <w:p w14:paraId="1BF253D2" w14:textId="75B0BD4A" w:rsidR="00E00F79" w:rsidRPr="00107E38" w:rsidRDefault="008865C2" w:rsidP="00CA1DE5">
      <w:pPr>
        <w:pBdr>
          <w:top w:val="nil"/>
          <w:left w:val="nil"/>
          <w:bottom w:val="nil"/>
          <w:right w:val="nil"/>
          <w:between w:val="nil"/>
          <w:bar w:val="nil"/>
        </w:pBdr>
        <w:suppressAutoHyphens/>
        <w:spacing w:after="40" w:line="240" w:lineRule="auto"/>
        <w:jc w:val="both"/>
        <w:rPr>
          <w:rFonts w:ascii="Times New Roman" w:hAnsi="Times New Roman" w:cs="Times New Roman"/>
          <w:b/>
          <w:sz w:val="23"/>
          <w:szCs w:val="23"/>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bookmarkStart w:id="0" w:name="_Hlk39138012"/>
      <w:r w:rsidR="00E00F79" w:rsidRPr="00107E38">
        <w:rPr>
          <w:rFonts w:ascii="Times New Roman" w:hAnsi="Times New Roman" w:cs="Times New Roman"/>
          <w:sz w:val="23"/>
          <w:szCs w:val="23"/>
        </w:rPr>
        <w:t>13.</w:t>
      </w:r>
      <w:r w:rsidR="00CA1DE5" w:rsidRPr="00107E38">
        <w:rPr>
          <w:rFonts w:ascii="Times New Roman" w:hAnsi="Times New Roman" w:cs="Times New Roman"/>
          <w:sz w:val="23"/>
          <w:szCs w:val="23"/>
        </w:rPr>
        <w:t>7</w:t>
      </w:r>
      <w:r w:rsidR="00E00F79" w:rsidRPr="00107E38">
        <w:rPr>
          <w:rFonts w:ascii="Times New Roman" w:hAnsi="Times New Roman" w:cs="Times New Roman"/>
          <w:sz w:val="23"/>
          <w:szCs w:val="23"/>
        </w:rPr>
        <w:t xml:space="preserve">. </w:t>
      </w:r>
      <w:r w:rsidR="00E00F79" w:rsidRPr="00107E38">
        <w:rPr>
          <w:rFonts w:ascii="Times New Roman" w:hAnsi="Times New Roman" w:cs="Times New Roman"/>
          <w:bCs/>
          <w:sz w:val="23"/>
          <w:szCs w:val="23"/>
        </w:rPr>
        <w:t>Jeigu sudaroma viena Sutartis dėl kelių pirkimo dalių:</w:t>
      </w:r>
    </w:p>
    <w:p w14:paraId="3A86613A" w14:textId="30E8A81A" w:rsidR="00E00F79" w:rsidRPr="00107E38" w:rsidRDefault="00E00F79" w:rsidP="00E00F79">
      <w:pPr>
        <w:pStyle w:val="Body2"/>
        <w:rPr>
          <w:rFonts w:cs="Times New Roman"/>
          <w:color w:val="auto"/>
          <w:sz w:val="23"/>
          <w:szCs w:val="23"/>
          <w:lang w:val="lt-LT"/>
        </w:rPr>
      </w:pPr>
      <w:r w:rsidRPr="00107E38">
        <w:rPr>
          <w:rFonts w:cs="Times New Roman"/>
          <w:color w:val="auto"/>
          <w:sz w:val="23"/>
          <w:szCs w:val="23"/>
          <w:lang w:val="lt-LT"/>
        </w:rPr>
        <w:tab/>
        <w:t>13.7.1. Sutartyje nurodytos sąlygos dėl Sutarties galiojimo, Sutarties vertės, Sutartyje nenumatytų prekių pirkimo pagal Sutarties 1.4 punktą, Sutarties nutraukimo, netesybų skaičiavimo taikomos kiekvienai pirkimo daliai atskirai.</w:t>
      </w:r>
    </w:p>
    <w:p w14:paraId="504CC1EA" w14:textId="54101F33" w:rsidR="00E00F79" w:rsidRPr="00107E38" w:rsidRDefault="00E00F79" w:rsidP="00E00F79">
      <w:pPr>
        <w:pStyle w:val="Body2"/>
        <w:rPr>
          <w:rFonts w:cs="Times New Roman"/>
          <w:color w:val="auto"/>
          <w:sz w:val="23"/>
          <w:szCs w:val="23"/>
          <w:lang w:val="lt-LT"/>
        </w:rPr>
      </w:pPr>
      <w:r w:rsidRPr="00107E38">
        <w:rPr>
          <w:rFonts w:cs="Times New Roman"/>
          <w:color w:val="auto"/>
          <w:sz w:val="23"/>
          <w:szCs w:val="23"/>
          <w:lang w:val="lt-LT"/>
        </w:rPr>
        <w:tab/>
        <w:t>13.7.2. Pardavėjas savo pasirinkimu gali pateikti vieną sąskaitą už visas pagal Sutartį pristatytas prekes arba atskiras sąskaitas pagal kiekvieną pirkimo dalį pristatytoms prekėms.</w:t>
      </w:r>
      <w:bookmarkEnd w:id="0"/>
    </w:p>
    <w:p w14:paraId="1C4EAC98" w14:textId="65420CAD" w:rsidR="009C4E59" w:rsidRPr="00107E38" w:rsidRDefault="00B6255E" w:rsidP="00B6255E">
      <w:pPr>
        <w:pStyle w:val="Body2"/>
        <w:rPr>
          <w:rFonts w:cs="Times New Roman"/>
          <w:sz w:val="23"/>
          <w:szCs w:val="23"/>
          <w:lang w:val="lt-LT"/>
        </w:rPr>
      </w:pPr>
      <w:r w:rsidRPr="00107E38">
        <w:rPr>
          <w:rFonts w:cs="Times New Roman"/>
          <w:color w:val="auto"/>
          <w:sz w:val="23"/>
          <w:szCs w:val="23"/>
          <w:lang w:val="lt-LT"/>
        </w:rPr>
        <w:tab/>
      </w:r>
      <w:r w:rsidR="009C4E59" w:rsidRPr="00107E38">
        <w:rPr>
          <w:rFonts w:cs="Times New Roman"/>
          <w:sz w:val="23"/>
          <w:szCs w:val="23"/>
        </w:rPr>
        <w:t>13.</w:t>
      </w:r>
      <w:r w:rsidR="00E00F79" w:rsidRPr="00107E38">
        <w:rPr>
          <w:rFonts w:cs="Times New Roman"/>
          <w:sz w:val="23"/>
          <w:szCs w:val="23"/>
        </w:rPr>
        <w:t>8</w:t>
      </w:r>
      <w:r w:rsidR="009C4E59" w:rsidRPr="00107E38">
        <w:rPr>
          <w:rFonts w:cs="Times New Roman"/>
          <w:sz w:val="23"/>
          <w:szCs w:val="23"/>
        </w:rPr>
        <w:t xml:space="preserve">. </w:t>
      </w:r>
      <w:r w:rsidR="009C4E59" w:rsidRPr="00107E38">
        <w:rPr>
          <w:rFonts w:cs="Times New Roman"/>
          <w:sz w:val="23"/>
          <w:szCs w:val="23"/>
          <w:lang w:val="lt-LT"/>
        </w:rPr>
        <w:t xml:space="preserve">Sutartis </w:t>
      </w:r>
      <w:r w:rsidR="00E00F79" w:rsidRPr="00107E38">
        <w:rPr>
          <w:rFonts w:cs="Times New Roman"/>
          <w:sz w:val="23"/>
          <w:szCs w:val="23"/>
          <w:lang w:val="lt-LT"/>
        </w:rPr>
        <w:t>abiejų Šalių pasirašoma kvalifikuotais elektroniniais parašais</w:t>
      </w:r>
      <w:r w:rsidR="009C4E59" w:rsidRPr="00107E38">
        <w:rPr>
          <w:rFonts w:cs="Times New Roman"/>
          <w:sz w:val="23"/>
          <w:szCs w:val="23"/>
          <w:lang w:val="lt-LT"/>
        </w:rPr>
        <w:t>.</w:t>
      </w:r>
    </w:p>
    <w:p w14:paraId="496E842A" w14:textId="76AC1141" w:rsidR="0037333A" w:rsidRPr="00107E38" w:rsidRDefault="0037333A"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r>
      <w:r w:rsidRPr="00107E38">
        <w:rPr>
          <w:rFonts w:ascii="Times New Roman" w:eastAsia="Arial Unicode MS" w:hAnsi="Times New Roman" w:cs="Times New Roman"/>
          <w:sz w:val="23"/>
          <w:szCs w:val="23"/>
          <w:bdr w:val="nil"/>
          <w14:textOutline w14:w="0" w14:cap="flat" w14:cmpd="sng" w14:algn="ctr">
            <w14:noFill/>
            <w14:prstDash w14:val="solid"/>
            <w14:bevel/>
          </w14:textOutline>
        </w:rPr>
        <w:t>13.8.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14009A8"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60BF1B9D"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14. SUTARTIES PRIEDAS</w:t>
      </w:r>
    </w:p>
    <w:p w14:paraId="14496061"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color w:val="000000"/>
          <w:sz w:val="23"/>
          <w:szCs w:val="23"/>
          <w:bdr w:val="nil"/>
          <w14:textOutline w14:w="0" w14:cap="flat" w14:cmpd="sng" w14:algn="ctr">
            <w14:noFill/>
            <w14:prstDash w14:val="solid"/>
            <w14:bevel/>
          </w14:textOutline>
        </w:rPr>
        <w:tab/>
        <w:t>14.1. Sutarties priedas Nr.1 „Techninė specifikacija ir pasiūlymo kaina”.</w:t>
      </w:r>
    </w:p>
    <w:p w14:paraId="5E032C5F"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3"/>
          <w:szCs w:val="23"/>
          <w:bdr w:val="nil"/>
          <w14:textOutline w14:w="0" w14:cap="flat" w14:cmpd="sng" w14:algn="ctr">
            <w14:noFill/>
            <w14:prstDash w14:val="solid"/>
            <w14:bevel/>
          </w14:textOutline>
        </w:rPr>
      </w:pPr>
    </w:p>
    <w:p w14:paraId="3ACA2F20" w14:textId="77777777" w:rsidR="009C4E59" w:rsidRPr="00107E38"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pPr>
      <w:r w:rsidRPr="00107E38">
        <w:rPr>
          <w:rFonts w:ascii="Times New Roman" w:eastAsia="Arial Unicode MS" w:hAnsi="Times New Roman" w:cs="Times New Roman"/>
          <w:b/>
          <w:bCs/>
          <w:caps/>
          <w:color w:val="444444"/>
          <w:spacing w:val="4"/>
          <w:sz w:val="23"/>
          <w:szCs w:val="23"/>
          <w:bdr w:val="nil"/>
          <w14:textOutline w14:w="0" w14:cap="flat" w14:cmpd="sng" w14:algn="ctr">
            <w14:noFill/>
            <w14:prstDash w14:val="solid"/>
            <w14:bevel/>
          </w14:textOutline>
        </w:rPr>
        <w:tab/>
        <w:t>15. ŠALIŲ JURIDINIAI ADRESAI, REKVIZITAI IR PARAŠAI</w:t>
      </w:r>
    </w:p>
    <w:p w14:paraId="797EA6B4" w14:textId="77777777" w:rsidR="009C4E59" w:rsidRPr="00107E38"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3"/>
          <w:szCs w:val="23"/>
          <w:bdr w:val="nil"/>
          <w14:textOutline w14:w="0" w14:cap="flat" w14:cmpd="sng" w14:algn="ctr">
            <w14:noFill/>
            <w14:prstDash w14:val="solid"/>
            <w14:bevel/>
          </w14:textOutline>
        </w:rPr>
      </w:pPr>
    </w:p>
    <w:tbl>
      <w:tblPr>
        <w:tblStyle w:val="TableNormal1"/>
        <w:tblW w:w="9556"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912"/>
        <w:gridCol w:w="182"/>
        <w:gridCol w:w="4462"/>
      </w:tblGrid>
      <w:tr w:rsidR="009C4E59" w:rsidRPr="00107E38" w14:paraId="023AB86B" w14:textId="77777777" w:rsidTr="007A17EE">
        <w:trPr>
          <w:trHeight w:val="3940"/>
        </w:trPr>
        <w:tc>
          <w:tcPr>
            <w:tcW w:w="4912" w:type="dxa"/>
            <w:tcBorders>
              <w:top w:val="nil"/>
              <w:left w:val="nil"/>
              <w:bottom w:val="nil"/>
              <w:right w:val="nil"/>
            </w:tcBorders>
            <w:tcMar>
              <w:top w:w="80" w:type="dxa"/>
              <w:left w:w="80" w:type="dxa"/>
              <w:bottom w:w="80" w:type="dxa"/>
              <w:right w:w="80" w:type="dxa"/>
            </w:tcMar>
          </w:tcPr>
          <w:p w14:paraId="0ACE3D8E" w14:textId="77777777" w:rsidR="009C4E59" w:rsidRPr="00107E38" w:rsidRDefault="009C4E59" w:rsidP="001535ED">
            <w:pPr>
              <w:suppressAutoHyphens/>
              <w:jc w:val="both"/>
              <w:rPr>
                <w:b/>
                <w:bCs/>
                <w:color w:val="000000"/>
                <w:sz w:val="23"/>
                <w:szCs w:val="23"/>
                <w:lang w:val="lt-LT"/>
                <w14:textOutline w14:w="0" w14:cap="flat" w14:cmpd="sng" w14:algn="ctr">
                  <w14:noFill/>
                  <w14:prstDash w14:val="solid"/>
                  <w14:bevel/>
                </w14:textOutline>
              </w:rPr>
            </w:pPr>
            <w:r w:rsidRPr="00107E38">
              <w:rPr>
                <w:b/>
                <w:bCs/>
                <w:color w:val="000000"/>
                <w:sz w:val="23"/>
                <w:szCs w:val="23"/>
                <w:lang w:val="lt-LT"/>
                <w14:textOutline w14:w="0" w14:cap="flat" w14:cmpd="sng" w14:algn="ctr">
                  <w14:noFill/>
                  <w14:prstDash w14:val="solid"/>
                  <w14:bevel/>
                </w14:textOutline>
              </w:rPr>
              <w:t>PARDAVĖJAS</w:t>
            </w:r>
          </w:p>
          <w:p w14:paraId="251C354C"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p>
          <w:p w14:paraId="46356DBD"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__________________</w:t>
            </w:r>
          </w:p>
          <w:p w14:paraId="0ABFD04B"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Adresas</w:t>
            </w:r>
          </w:p>
          <w:p w14:paraId="7BA67E8C"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Įmonės kodas:</w:t>
            </w:r>
          </w:p>
          <w:p w14:paraId="3D51AEA1"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PVM kodas:</w:t>
            </w:r>
          </w:p>
          <w:p w14:paraId="01A53461"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Sąskaita:</w:t>
            </w:r>
          </w:p>
          <w:p w14:paraId="39D71134"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Bankas:</w:t>
            </w:r>
          </w:p>
          <w:p w14:paraId="0ABBD8ED"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Banko kodas:</w:t>
            </w:r>
          </w:p>
          <w:p w14:paraId="637DC3A7"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Tel.:</w:t>
            </w:r>
          </w:p>
          <w:p w14:paraId="6AC7C96A"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 xml:space="preserve">El. p. </w:t>
            </w:r>
          </w:p>
          <w:p w14:paraId="0D86C8FE"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p>
          <w:p w14:paraId="06D977E4" w14:textId="77777777" w:rsidR="009C4E59" w:rsidRPr="00107E38" w:rsidRDefault="009C4E59" w:rsidP="001535ED">
            <w:pPr>
              <w:suppressAutoHyphens/>
              <w:jc w:val="both"/>
              <w:rPr>
                <w:color w:val="000000"/>
                <w:sz w:val="23"/>
                <w:szCs w:val="23"/>
                <w:lang w:val="fi-FI"/>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Atstovas</w:t>
            </w:r>
          </w:p>
          <w:p w14:paraId="2CFC0C99" w14:textId="1AD1E719" w:rsidR="009C4E59" w:rsidRPr="00107E38" w:rsidRDefault="009C4E59" w:rsidP="007A17EE">
            <w:pPr>
              <w:suppressAutoHyphens/>
              <w:jc w:val="both"/>
              <w:rPr>
                <w:color w:val="000000"/>
                <w:sz w:val="23"/>
                <w:szCs w:val="23"/>
                <w14:textOutline w14:w="0" w14:cap="flat" w14:cmpd="sng" w14:algn="ctr">
                  <w14:noFill/>
                  <w14:prstDash w14:val="solid"/>
                  <w14:bevel/>
                </w14:textOutline>
              </w:rPr>
            </w:pPr>
            <w:r w:rsidRPr="00107E38">
              <w:rPr>
                <w:color w:val="000000"/>
                <w:sz w:val="23"/>
                <w:szCs w:val="23"/>
                <w:lang w:val="fi-FI"/>
                <w14:textOutline w14:w="0" w14:cap="flat" w14:cmpd="sng" w14:algn="ctr">
                  <w14:noFill/>
                  <w14:prstDash w14:val="solid"/>
                  <w14:bevel/>
                </w14:textOutline>
              </w:rPr>
              <w:t>Vardas, pavardė</w:t>
            </w:r>
          </w:p>
        </w:tc>
        <w:tc>
          <w:tcPr>
            <w:tcW w:w="182" w:type="dxa"/>
            <w:tcBorders>
              <w:top w:val="nil"/>
              <w:left w:val="nil"/>
              <w:bottom w:val="nil"/>
              <w:right w:val="nil"/>
            </w:tcBorders>
            <w:tcMar>
              <w:top w:w="80" w:type="dxa"/>
              <w:left w:w="80" w:type="dxa"/>
              <w:bottom w:w="80" w:type="dxa"/>
              <w:right w:w="80" w:type="dxa"/>
            </w:tcMar>
          </w:tcPr>
          <w:p w14:paraId="5C7C2704" w14:textId="77777777" w:rsidR="009C4E59" w:rsidRPr="00107E38" w:rsidRDefault="009C4E59" w:rsidP="001535ED">
            <w:pPr>
              <w:rPr>
                <w:sz w:val="23"/>
                <w:szCs w:val="23"/>
                <w:lang w:val="lt-LT"/>
              </w:rPr>
            </w:pPr>
          </w:p>
        </w:tc>
        <w:tc>
          <w:tcPr>
            <w:tcW w:w="4462" w:type="dxa"/>
            <w:tcBorders>
              <w:top w:val="nil"/>
              <w:left w:val="nil"/>
              <w:bottom w:val="nil"/>
              <w:right w:val="nil"/>
            </w:tcBorders>
            <w:tcMar>
              <w:top w:w="80" w:type="dxa"/>
              <w:left w:w="80" w:type="dxa"/>
              <w:bottom w:w="80" w:type="dxa"/>
              <w:right w:w="80" w:type="dxa"/>
            </w:tcMar>
          </w:tcPr>
          <w:p w14:paraId="21F1B1B3" w14:textId="77777777" w:rsidR="009C4E59" w:rsidRPr="00107E38" w:rsidRDefault="009C4E59" w:rsidP="001535ED">
            <w:pPr>
              <w:suppressAutoHyphens/>
              <w:jc w:val="both"/>
              <w:rPr>
                <w:b/>
                <w:bCs/>
                <w:color w:val="000000"/>
                <w:sz w:val="23"/>
                <w:szCs w:val="23"/>
                <w:lang w:val="lt-LT"/>
                <w14:textOutline w14:w="0" w14:cap="flat" w14:cmpd="sng" w14:algn="ctr">
                  <w14:noFill/>
                  <w14:prstDash w14:val="solid"/>
                  <w14:bevel/>
                </w14:textOutline>
              </w:rPr>
            </w:pPr>
            <w:r w:rsidRPr="00107E38">
              <w:rPr>
                <w:b/>
                <w:bCs/>
                <w:color w:val="000000"/>
                <w:sz w:val="23"/>
                <w:szCs w:val="23"/>
                <w:lang w:val="lt-LT"/>
                <w14:textOutline w14:w="0" w14:cap="flat" w14:cmpd="sng" w14:algn="ctr">
                  <w14:noFill/>
                  <w14:prstDash w14:val="solid"/>
                  <w14:bevel/>
                </w14:textOutline>
              </w:rPr>
              <w:t>PIRKĖJAS</w:t>
            </w:r>
          </w:p>
          <w:p w14:paraId="503AF36C" w14:textId="77777777" w:rsidR="009C4E59" w:rsidRPr="00107E38" w:rsidRDefault="009C4E59" w:rsidP="001535ED">
            <w:pPr>
              <w:suppressAutoHyphens/>
              <w:jc w:val="both"/>
              <w:rPr>
                <w:b/>
                <w:bCs/>
                <w:color w:val="000000"/>
                <w:sz w:val="23"/>
                <w:szCs w:val="23"/>
                <w:lang w:val="lt-LT"/>
                <w14:textOutline w14:w="0" w14:cap="flat" w14:cmpd="sng" w14:algn="ctr">
                  <w14:noFill/>
                  <w14:prstDash w14:val="solid"/>
                  <w14:bevel/>
                </w14:textOutline>
              </w:rPr>
            </w:pPr>
          </w:p>
          <w:p w14:paraId="00995672" w14:textId="77777777" w:rsidR="009C4E59" w:rsidRPr="00107E38" w:rsidRDefault="009C4E59" w:rsidP="001535ED">
            <w:pPr>
              <w:suppressAutoHyphens/>
              <w:rPr>
                <w:b/>
                <w:bCs/>
                <w:color w:val="000000"/>
                <w:sz w:val="23"/>
                <w:szCs w:val="23"/>
                <w:lang w:val="lt-LT"/>
                <w14:textOutline w14:w="0" w14:cap="flat" w14:cmpd="sng" w14:algn="ctr">
                  <w14:noFill/>
                  <w14:prstDash w14:val="solid"/>
                  <w14:bevel/>
                </w14:textOutline>
              </w:rPr>
            </w:pPr>
            <w:r w:rsidRPr="00107E38">
              <w:rPr>
                <w:b/>
                <w:bCs/>
                <w:color w:val="000000"/>
                <w:sz w:val="23"/>
                <w:szCs w:val="23"/>
                <w:lang w:val="lt-LT"/>
                <w14:textOutline w14:w="0" w14:cap="flat" w14:cmpd="sng" w14:algn="ctr">
                  <w14:noFill/>
                  <w14:prstDash w14:val="solid"/>
                  <w14:bevel/>
                </w14:textOutline>
              </w:rPr>
              <w:t>VšĮ Respublikinė Vilniaus universitetinė ligoninė</w:t>
            </w:r>
          </w:p>
          <w:p w14:paraId="15960F96"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Šiltnamių g. 29, 04130 Vilnius</w:t>
            </w:r>
          </w:p>
          <w:p w14:paraId="38E09B80"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Juridinio asmens kodas 124243848</w:t>
            </w:r>
          </w:p>
          <w:p w14:paraId="1BBA50B6"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PVM mokėtojo kodas LT242438412</w:t>
            </w:r>
          </w:p>
          <w:p w14:paraId="55B711C2"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Tel.: (8 5) 216 9069</w:t>
            </w:r>
          </w:p>
          <w:p w14:paraId="6B312FCB"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 xml:space="preserve">E. p. </w:t>
            </w:r>
            <w:hyperlink r:id="rId4" w:history="1">
              <w:r w:rsidRPr="00107E38">
                <w:rPr>
                  <w:color w:val="000000"/>
                  <w:sz w:val="23"/>
                  <w:szCs w:val="23"/>
                  <w:u w:val="single"/>
                  <w:lang w:val="lt-LT"/>
                  <w14:textOutline w14:w="0" w14:cap="flat" w14:cmpd="sng" w14:algn="ctr">
                    <w14:noFill/>
                    <w14:prstDash w14:val="solid"/>
                    <w14:bevel/>
                  </w14:textOutline>
                </w:rPr>
                <w:t>rvul@rvul.lt</w:t>
              </w:r>
            </w:hyperlink>
          </w:p>
          <w:p w14:paraId="5903634C"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Bankas AB „SEB bankas“</w:t>
            </w:r>
          </w:p>
          <w:p w14:paraId="720551D1"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A. s. LT21 7044 0600 0664 2377</w:t>
            </w:r>
          </w:p>
          <w:p w14:paraId="5120BEC1" w14:textId="77777777" w:rsidR="009C4E59" w:rsidRPr="00107E38" w:rsidRDefault="009C4E59" w:rsidP="001535ED">
            <w:pPr>
              <w:suppressAutoHyphens/>
              <w:jc w:val="both"/>
              <w:rPr>
                <w:color w:val="000000"/>
                <w:sz w:val="23"/>
                <w:szCs w:val="23"/>
                <w:lang w:val="lt-LT"/>
                <w14:textOutline w14:w="0" w14:cap="flat" w14:cmpd="sng" w14:algn="ctr">
                  <w14:noFill/>
                  <w14:prstDash w14:val="solid"/>
                  <w14:bevel/>
                </w14:textOutline>
              </w:rPr>
            </w:pPr>
          </w:p>
          <w:p w14:paraId="7042C774" w14:textId="77777777" w:rsidR="009C4E59" w:rsidRPr="00107E38" w:rsidRDefault="009C4E59" w:rsidP="001535ED">
            <w:pPr>
              <w:suppressAutoHyphens/>
              <w:spacing w:after="40"/>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Atstovas</w:t>
            </w:r>
          </w:p>
          <w:p w14:paraId="7B72E7FC" w14:textId="44054FC4" w:rsidR="009C4E59" w:rsidRPr="00107E38" w:rsidRDefault="009C4E59" w:rsidP="007A17EE">
            <w:pPr>
              <w:suppressAutoHyphens/>
              <w:jc w:val="both"/>
              <w:rPr>
                <w:color w:val="000000"/>
                <w:sz w:val="23"/>
                <w:szCs w:val="23"/>
                <w:lang w:val="lt-LT"/>
                <w14:textOutline w14:w="0" w14:cap="flat" w14:cmpd="sng" w14:algn="ctr">
                  <w14:noFill/>
                  <w14:prstDash w14:val="solid"/>
                  <w14:bevel/>
                </w14:textOutline>
              </w:rPr>
            </w:pPr>
            <w:r w:rsidRPr="00107E38">
              <w:rPr>
                <w:color w:val="000000"/>
                <w:sz w:val="23"/>
                <w:szCs w:val="23"/>
                <w:lang w:val="lt-LT"/>
                <w14:textOutline w14:w="0" w14:cap="flat" w14:cmpd="sng" w14:algn="ctr">
                  <w14:noFill/>
                  <w14:prstDash w14:val="solid"/>
                  <w14:bevel/>
                </w14:textOutline>
              </w:rPr>
              <w:t>Vardas, pavardė</w:t>
            </w:r>
          </w:p>
        </w:tc>
      </w:tr>
    </w:tbl>
    <w:p w14:paraId="21C19CBE" w14:textId="77777777" w:rsidR="009C4E59" w:rsidRPr="00107E38" w:rsidRDefault="009C4E59" w:rsidP="009C4E59">
      <w:pPr>
        <w:rPr>
          <w:rFonts w:ascii="Times New Roman" w:hAnsi="Times New Roman" w:cs="Times New Roman"/>
          <w:sz w:val="23"/>
          <w:szCs w:val="23"/>
        </w:rPr>
      </w:pPr>
    </w:p>
    <w:p w14:paraId="73360C1F" w14:textId="77777777" w:rsidR="00F16CA1" w:rsidRPr="00107E38" w:rsidRDefault="00F16CA1">
      <w:pPr>
        <w:rPr>
          <w:rFonts w:ascii="Times New Roman" w:hAnsi="Times New Roman" w:cs="Times New Roman"/>
          <w:sz w:val="23"/>
          <w:szCs w:val="23"/>
        </w:rPr>
      </w:pPr>
    </w:p>
    <w:sectPr w:rsidR="00F16CA1" w:rsidRPr="00107E38" w:rsidSect="002F0E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59"/>
    <w:rsid w:val="000304E4"/>
    <w:rsid w:val="0006757D"/>
    <w:rsid w:val="000D1794"/>
    <w:rsid w:val="00107E38"/>
    <w:rsid w:val="001204F4"/>
    <w:rsid w:val="00145490"/>
    <w:rsid w:val="001B69B3"/>
    <w:rsid w:val="001F163A"/>
    <w:rsid w:val="00202CE7"/>
    <w:rsid w:val="00226F31"/>
    <w:rsid w:val="00255717"/>
    <w:rsid w:val="002F0E63"/>
    <w:rsid w:val="002F11D1"/>
    <w:rsid w:val="002F4B2C"/>
    <w:rsid w:val="0037333A"/>
    <w:rsid w:val="003D1AEC"/>
    <w:rsid w:val="003F6A7E"/>
    <w:rsid w:val="00401A13"/>
    <w:rsid w:val="004759E1"/>
    <w:rsid w:val="005602FA"/>
    <w:rsid w:val="00560BFA"/>
    <w:rsid w:val="0058488E"/>
    <w:rsid w:val="006452ED"/>
    <w:rsid w:val="007557CA"/>
    <w:rsid w:val="00764F9C"/>
    <w:rsid w:val="007A17EE"/>
    <w:rsid w:val="007E60A0"/>
    <w:rsid w:val="0082359E"/>
    <w:rsid w:val="0083339E"/>
    <w:rsid w:val="008865C2"/>
    <w:rsid w:val="008A41FB"/>
    <w:rsid w:val="00927196"/>
    <w:rsid w:val="009373D8"/>
    <w:rsid w:val="009A25A6"/>
    <w:rsid w:val="009A5A6A"/>
    <w:rsid w:val="009C4E59"/>
    <w:rsid w:val="00A0239A"/>
    <w:rsid w:val="00B274A8"/>
    <w:rsid w:val="00B6255E"/>
    <w:rsid w:val="00B64973"/>
    <w:rsid w:val="00BA68DA"/>
    <w:rsid w:val="00BD6AD8"/>
    <w:rsid w:val="00C97A98"/>
    <w:rsid w:val="00CA1DE5"/>
    <w:rsid w:val="00CE5A3A"/>
    <w:rsid w:val="00D475FD"/>
    <w:rsid w:val="00DB1992"/>
    <w:rsid w:val="00E00F79"/>
    <w:rsid w:val="00E12F52"/>
    <w:rsid w:val="00E20395"/>
    <w:rsid w:val="00E51EB2"/>
    <w:rsid w:val="00E74A40"/>
    <w:rsid w:val="00E90667"/>
    <w:rsid w:val="00EF3DED"/>
    <w:rsid w:val="00F117C6"/>
    <w:rsid w:val="00F16CA1"/>
    <w:rsid w:val="00F4024C"/>
    <w:rsid w:val="00F4249F"/>
    <w:rsid w:val="00FB1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7098"/>
  <w15:chartTrackingRefBased/>
  <w15:docId w15:val="{3BA15A6F-8840-4F24-92CA-0C561E29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E5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9C4E5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 w:type="paragraph" w:customStyle="1" w:styleId="Body2">
    <w:name w:val="Body 2"/>
    <w:rsid w:val="009C4E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styleId="Pataisymai">
    <w:name w:val="Revision"/>
    <w:hidden/>
    <w:uiPriority w:val="99"/>
    <w:semiHidden/>
    <w:rsid w:val="00E00F7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vul@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2486</Words>
  <Characters>14175</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Robertas Urmanavičius</cp:lastModifiedBy>
  <cp:revision>21</cp:revision>
  <dcterms:created xsi:type="dcterms:W3CDTF">2024-03-18T08:25:00Z</dcterms:created>
  <dcterms:modified xsi:type="dcterms:W3CDTF">2026-04-21T12:19:00Z</dcterms:modified>
</cp:coreProperties>
</file>